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2F0A1F">
      <w:pPr>
        <w:pStyle w:val="17"/>
        <w:keepNext w:val="0"/>
        <w:keepLines w:val="0"/>
        <w:pageBreakBefore w:val="0"/>
        <w:widowControl/>
        <w:kinsoku/>
        <w:wordWrap/>
        <w:overflowPunct/>
        <w:topLinePunct w:val="0"/>
        <w:autoSpaceDE/>
        <w:autoSpaceDN/>
        <w:bidi w:val="0"/>
        <w:adjustRightInd/>
        <w:snapToGrid/>
        <w:spacing w:before="200" w:after="200"/>
        <w:jc w:val="both"/>
        <w:textAlignment w:val="auto"/>
        <w:rPr>
          <w:rFonts w:hint="eastAsia"/>
          <w:b w:val="0"/>
          <w:bCs/>
          <w:i/>
          <w:iCs/>
          <w:color w:val="000000"/>
          <w:sz w:val="24"/>
          <w:szCs w:val="24"/>
          <w:u w:val="none"/>
          <w:rtl w:val="0"/>
          <w:lang w:val="en-US" w:eastAsia="zh-CN"/>
        </w:rPr>
      </w:pPr>
      <w:r>
        <w:rPr>
          <w:rFonts w:hint="eastAsia"/>
          <w:b w:val="0"/>
          <w:bCs/>
          <w:i/>
          <w:iCs/>
          <w:color w:val="000000"/>
          <w:sz w:val="24"/>
          <w:szCs w:val="24"/>
          <w:u w:val="none"/>
          <w:rtl w:val="0"/>
          <w:lang w:val="en-US" w:eastAsia="zh-CN"/>
        </w:rPr>
        <w:t>Article</w:t>
      </w:r>
    </w:p>
    <w:p w14:paraId="4BE8AA97">
      <w:pPr>
        <w:pStyle w:val="17"/>
        <w:jc w:val="both"/>
        <w:rPr>
          <w:rFonts w:hint="default" w:ascii="Times New Roman" w:hAnsi="Times New Roman" w:cs="Times New Roman"/>
        </w:rPr>
      </w:pPr>
      <w:r>
        <w:rPr>
          <w:rFonts w:hint="default" w:ascii="Times New Roman" w:hAnsi="Times New Roman" w:cs="Times New Roman"/>
        </w:rPr>
        <w:t>Progress and Prospects of Research on Important Agricultural Heritage Systems:</w:t>
      </w:r>
      <w:r>
        <w:rPr>
          <w:rFonts w:hint="default" w:ascii="Times New Roman" w:hAnsi="Times New Roman" w:cs="Times New Roman"/>
          <w:lang w:val="en-US" w:eastAsia="zh-CN"/>
        </w:rPr>
        <w:t xml:space="preserve"> </w:t>
      </w:r>
      <w:r>
        <w:rPr>
          <w:rFonts w:hint="default" w:ascii="Times New Roman" w:hAnsi="Times New Roman" w:cs="Times New Roman"/>
        </w:rPr>
        <w:t>A Bibliometric Analysis Based on CiteSpace</w:t>
      </w:r>
    </w:p>
    <w:p w14:paraId="36C9D327">
      <w:pPr>
        <w:pStyle w:val="45"/>
        <w:rPr>
          <w:rFonts w:hint="eastAsia" w:ascii="Times New Roman" w:hAnsi="Times New Roman" w:cs="Times New Roman" w:eastAsiaTheme="minorEastAsia"/>
          <w:lang w:val="en-US" w:eastAsia="zh-CN"/>
        </w:rPr>
      </w:pPr>
      <w:r>
        <w:rPr>
          <w:rFonts w:hint="default" w:ascii="Times New Roman" w:hAnsi="Times New Roman" w:cs="Times New Roman"/>
        </w:rPr>
        <w:t>Xinyong Lu</w:t>
      </w:r>
      <w:r>
        <w:rPr>
          <w:rFonts w:hint="default" w:ascii="Times New Roman" w:hAnsi="Times New Roman" w:cs="Times New Roman"/>
          <w:b/>
          <w:szCs w:val="24"/>
          <w:vertAlign w:val="superscript"/>
        </w:rPr>
        <w:t>*</w:t>
      </w:r>
    </w:p>
    <w:p w14:paraId="4F482007">
      <w:pPr>
        <w:spacing w:before="240" w:after="0"/>
        <w:rPr>
          <w:rFonts w:hint="default" w:ascii="Times New Roman" w:hAnsi="Times New Roman" w:cs="Times New Roman"/>
          <w:b/>
          <w:szCs w:val="24"/>
        </w:rPr>
      </w:pPr>
      <w:r>
        <w:rPr>
          <w:rFonts w:hint="default" w:ascii="Times New Roman" w:hAnsi="Times New Roman" w:cs="Times New Roman"/>
          <w:szCs w:val="24"/>
        </w:rPr>
        <w:t>College of Economy and Trade, Zhongkai University of Agriculture and Engineering, Guangzhou Guangdong,</w:t>
      </w:r>
      <w:r>
        <w:rPr>
          <w:rFonts w:hint="default" w:ascii="Times New Roman" w:hAnsi="Times New Roman" w:cs="Times New Roman"/>
          <w:szCs w:val="24"/>
          <w:lang w:val="en-US" w:eastAsia="zh-CN"/>
        </w:rPr>
        <w:t xml:space="preserve"> </w:t>
      </w:r>
      <w:r>
        <w:rPr>
          <w:rFonts w:hint="default" w:ascii="Times New Roman" w:hAnsi="Times New Roman" w:cs="Times New Roman"/>
          <w:szCs w:val="24"/>
        </w:rPr>
        <w:t>510550,</w:t>
      </w:r>
      <w:r>
        <w:rPr>
          <w:rFonts w:hint="default" w:ascii="Times New Roman" w:hAnsi="Times New Roman" w:cs="Times New Roman"/>
          <w:szCs w:val="24"/>
          <w:lang w:val="en-US" w:eastAsia="zh-CN"/>
        </w:rPr>
        <w:t xml:space="preserve"> </w:t>
      </w:r>
      <w:r>
        <w:rPr>
          <w:rFonts w:hint="default" w:ascii="Times New Roman" w:hAnsi="Times New Roman" w:cs="Times New Roman"/>
          <w:szCs w:val="24"/>
        </w:rPr>
        <w:t>China.</w:t>
      </w:r>
      <w:r>
        <w:rPr>
          <w:rFonts w:hint="default" w:ascii="Times New Roman" w:hAnsi="Times New Roman" w:cs="Times New Roman"/>
          <w:szCs w:val="24"/>
          <w:lang w:val="en-US" w:eastAsia="zh-CN"/>
        </w:rPr>
        <w:t xml:space="preserve"> </w:t>
      </w:r>
      <w:r>
        <w:rPr>
          <w:rFonts w:hint="default" w:ascii="Times New Roman" w:hAnsi="Times New Roman" w:cs="Times New Roman"/>
        </w:rPr>
        <w:br w:type="textWrapping"/>
      </w:r>
      <w:r>
        <w:rPr>
          <w:rFonts w:hint="default" w:ascii="Times New Roman" w:hAnsi="Times New Roman" w:cs="Times New Roman"/>
          <w:b/>
          <w:szCs w:val="24"/>
        </w:rPr>
        <w:t xml:space="preserve">* </w:t>
      </w:r>
      <w:r>
        <w:rPr>
          <w:rFonts w:hint="eastAsia" w:cs="Times New Roman"/>
          <w:b/>
          <w:szCs w:val="24"/>
          <w:lang w:val="en-US" w:eastAsia="zh-CN"/>
        </w:rPr>
        <w:t>C</w:t>
      </w:r>
      <w:r>
        <w:rPr>
          <w:rFonts w:hint="default" w:ascii="Times New Roman" w:hAnsi="Times New Roman" w:cs="Times New Roman"/>
          <w:b/>
          <w:szCs w:val="24"/>
        </w:rPr>
        <w:t xml:space="preserve">orresponding </w:t>
      </w:r>
      <w:r>
        <w:rPr>
          <w:rFonts w:hint="eastAsia" w:cs="Times New Roman"/>
          <w:b/>
          <w:szCs w:val="24"/>
          <w:lang w:val="en-US" w:eastAsia="zh-CN"/>
        </w:rPr>
        <w:t>A</w:t>
      </w:r>
      <w:r>
        <w:rPr>
          <w:rFonts w:hint="default" w:ascii="Times New Roman" w:hAnsi="Times New Roman" w:cs="Times New Roman"/>
          <w:b/>
          <w:szCs w:val="24"/>
        </w:rPr>
        <w:t xml:space="preserve">uthor: </w:t>
      </w:r>
      <w:r>
        <w:rPr>
          <w:rFonts w:hint="default" w:ascii="Times New Roman" w:hAnsi="Times New Roman" w:cs="Times New Roman"/>
          <w:szCs w:val="24"/>
        </w:rPr>
        <w:t>Xinyong Lu</w:t>
      </w:r>
      <w:r>
        <w:rPr>
          <w:rFonts w:hint="eastAsia" w:cs="Times New Roman"/>
          <w:szCs w:val="24"/>
          <w:lang w:val="en-US" w:eastAsia="zh-CN"/>
        </w:rPr>
        <w:t xml:space="preserve">, </w:t>
      </w:r>
      <w:r>
        <w:rPr>
          <w:rFonts w:hint="default" w:ascii="Times New Roman" w:hAnsi="Times New Roman" w:cs="Times New Roman"/>
        </w:rPr>
        <w:t>luxinyong@zhku.edu.cn</w:t>
      </w:r>
    </w:p>
    <w:p w14:paraId="3945F31D">
      <w:pPr>
        <w:pStyle w:val="45"/>
        <w:rPr>
          <w:rFonts w:hint="default" w:ascii="Times New Roman" w:hAnsi="Times New Roman" w:cs="Times New Roman"/>
        </w:rPr>
      </w:pPr>
      <w:r>
        <w:rPr>
          <w:rFonts w:hint="default" w:ascii="Times New Roman" w:hAnsi="Times New Roman" w:cs="Times New Roman"/>
        </w:rPr>
        <w:t>Abstract</w:t>
      </w:r>
    </w:p>
    <w:p w14:paraId="3B3442E7">
      <w:pPr>
        <w:jc w:val="both"/>
        <w:rPr>
          <w:rFonts w:hint="default" w:ascii="Times New Roman" w:hAnsi="Times New Roman" w:cs="Times New Roman"/>
          <w:szCs w:val="24"/>
        </w:rPr>
      </w:pPr>
      <w:r>
        <w:rPr>
          <w:rFonts w:hint="default" w:ascii="Times New Roman" w:hAnsi="Times New Roman" w:cs="Times New Roman"/>
          <w:szCs w:val="24"/>
        </w:rPr>
        <w:t>The Important Agricultural Heritage Systems (IAHS), a newly recognized category of cultural heritage, has garnered significant attention within the international scientific community. As global research on IAHS continues to grow, numerous scholars have conducted literature reviews on this subject. However, there remains a lack of visualized studies that effectively delineate emerging research trends. To address this gap, this study employs a bibliometric approach to provide a comprehensive analysis of the research progress and overarching development trends of the Global Important Agricultural Heritage Systems (GIAHS) from 2006 to 2023, offering valuable insights for the future development of related regions and nations. A total of 537 articles from the Web of Science Core Collection, published between 2006 and 2023, were analyzed using CiteSpace software. The findings reveal that international IAHS research can be divided into two phases: a fluctuating growth phase and a stable growth phase. Key countries and regions contributing numerous papers to core journals on IAHS include Canada, China, the United States, the Netherlands, the United Kingdom, and Italy. Influential institutions in IAHS research include the Chinese Academy of Sciences, University of Chinese Academy of Sciences, McMaster University, University of Twente, and the University of Toronto. Water Resources Research and Journal of Hydrology are the most frequently cited journals. Research hotspots over the past 18 years have concentrated on topics such as agricultural heritage systems, regeneration, agroforestry systems, dry stone walls, social capital, instability, and agricultural biodiversity. Research themes have primarily focused on GIAHS, tourism, livelihood assets, and georeferencing. Authors from different countries and regions have focused on distinct research themes. Based on the findings, future research should prioritize practical applications, micro</w:t>
      </w:r>
      <w:r>
        <w:rPr>
          <w:rFonts w:hint="default" w:ascii="Times New Roman" w:hAnsi="Times New Roman" w:cs="Times New Roman"/>
          <w:szCs w:val="24"/>
          <w:lang w:eastAsia="zh-CN"/>
        </w:rPr>
        <w:t>–</w:t>
      </w:r>
      <w:r>
        <w:rPr>
          <w:rFonts w:hint="default" w:ascii="Times New Roman" w:hAnsi="Times New Roman" w:cs="Times New Roman"/>
          <w:szCs w:val="24"/>
        </w:rPr>
        <w:t>level perspectives, social science research, standardized quantitative methods, and expanding international collaboration. In</w:t>
      </w:r>
      <w:r>
        <w:rPr>
          <w:rFonts w:hint="default" w:ascii="Times New Roman" w:hAnsi="Times New Roman" w:cs="Times New Roman"/>
          <w:szCs w:val="24"/>
          <w:lang w:eastAsia="zh-CN"/>
        </w:rPr>
        <w:t>–</w:t>
      </w:r>
      <w:r>
        <w:rPr>
          <w:rFonts w:hint="default" w:ascii="Times New Roman" w:hAnsi="Times New Roman" w:cs="Times New Roman"/>
          <w:szCs w:val="24"/>
        </w:rPr>
        <w:t>depth exploration in these areas will provide substantial support and guidance for the continued development of IAHS research.</w:t>
      </w:r>
    </w:p>
    <w:p w14:paraId="76B92048">
      <w:pPr>
        <w:pStyle w:val="45"/>
        <w:rPr>
          <w:rFonts w:hint="default" w:ascii="Times New Roman" w:hAnsi="Times New Roman" w:cs="Times New Roman"/>
          <w:szCs w:val="24"/>
        </w:rPr>
      </w:pPr>
      <w:r>
        <w:rPr>
          <w:rFonts w:hint="default" w:ascii="Times New Roman" w:hAnsi="Times New Roman" w:cs="Times New Roman"/>
        </w:rPr>
        <w:t>Keywords:</w:t>
      </w:r>
      <w:r>
        <w:rPr>
          <w:rFonts w:hint="default" w:ascii="Times New Roman" w:hAnsi="Times New Roman" w:cs="Times New Roman"/>
          <w:b w:val="0"/>
          <w:bCs/>
          <w:i w:val="0"/>
          <w:iCs w:val="0"/>
          <w:u w:val="none"/>
        </w:rPr>
        <w:t xml:space="preserve"> Important agricultural cultural heritage; CiteSpace; Globally important agricultural cultural heritage; Bibliometrics</w:t>
      </w:r>
    </w:p>
    <w:p w14:paraId="52BAC38C">
      <w:pPr>
        <w:pStyle w:val="2"/>
        <w:numPr>
          <w:ilvl w:val="0"/>
          <w:numId w:val="2"/>
        </w:numPr>
        <w:ind w:left="567" w:leftChars="0" w:hanging="567" w:firstLineChars="0"/>
        <w:rPr>
          <w:rFonts w:hint="default" w:ascii="Times New Roman" w:hAnsi="Times New Roman" w:cs="Times New Roman"/>
        </w:rPr>
      </w:pPr>
      <w:r>
        <w:rPr>
          <w:rFonts w:hint="default" w:ascii="Times New Roman" w:hAnsi="Times New Roman" w:cs="Times New Roman"/>
        </w:rPr>
        <w:t>Introduction</w:t>
      </w:r>
    </w:p>
    <w:p w14:paraId="49DBB433">
      <w:pPr>
        <w:tabs>
          <w:tab w:val="left" w:pos="1974"/>
        </w:tabs>
        <w:adjustRightInd w:val="0"/>
        <w:spacing w:before="120" w:after="240"/>
        <w:jc w:val="both"/>
        <w:rPr>
          <w:rFonts w:hint="default" w:ascii="Times New Roman" w:hAnsi="Times New Roman" w:eastAsia="黑体" w:cs="Times New Roman"/>
          <w:sz w:val="24"/>
        </w:rPr>
      </w:pPr>
      <w:r>
        <w:rPr>
          <w:rFonts w:hint="default" w:ascii="Times New Roman" w:hAnsi="Times New Roman" w:eastAsia="黑体" w:cs="Times New Roman"/>
          <w:sz w:val="24"/>
        </w:rPr>
        <w:t>In response to the global environmental challenges posed by traditional agriculture and the excessive use of chemical inputs, the Food and Agriculture Organization (FAO) of the United Nations launched the Globally Important Agricultural Heritage Systems (GIAHS) Conservation Project in 2002. GIAHS are defined as unique land use systems and agricultural landscapes that have evolved over time and dynamically adapted in rural areas and their surrounding environments. These systems are rich in biodiversity, meet local social, economic, and cultural needs, promote sustainable regional development, and are of significant value in enhancing rural ecological systems</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1</w:t>
      </w:r>
      <w:r>
        <w:rPr>
          <w:rFonts w:hint="default" w:ascii="Times New Roman" w:hAnsi="Times New Roman" w:eastAsia="黑体" w:cs="Times New Roman"/>
          <w:sz w:val="24"/>
          <w:vertAlign w:val="superscript"/>
          <w:lang w:val="en-US" w:eastAsia="zh-CN"/>
        </w:rPr>
        <w:t>]</w:t>
      </w:r>
      <w:r>
        <w:rPr>
          <w:rFonts w:hint="default" w:ascii="Times New Roman" w:hAnsi="Times New Roman" w:eastAsia="黑体" w:cs="Times New Roman"/>
          <w:sz w:val="24"/>
        </w:rPr>
        <w:t>.</w:t>
      </w:r>
    </w:p>
    <w:p w14:paraId="7655808D">
      <w:pPr>
        <w:tabs>
          <w:tab w:val="left" w:pos="1974"/>
        </w:tabs>
        <w:adjustRightInd w:val="0"/>
        <w:spacing w:before="120" w:after="240"/>
        <w:jc w:val="both"/>
        <w:rPr>
          <w:rFonts w:hint="default" w:ascii="Times New Roman" w:hAnsi="Times New Roman" w:eastAsia="黑体" w:cs="Times New Roman"/>
          <w:sz w:val="24"/>
        </w:rPr>
      </w:pPr>
      <w:r>
        <w:rPr>
          <w:rFonts w:hint="default" w:ascii="Times New Roman" w:hAnsi="Times New Roman" w:eastAsia="黑体" w:cs="Times New Roman"/>
          <w:sz w:val="24"/>
        </w:rPr>
        <w:t>To be recognized as a GIAHS, traditional agricultural systems must fulfill five main criteria: food and livelihood security, biodiversity and ecosystem functions, knowledge systems and adaptation technologies, cultural value systems and social organization (agriculture), and compelling landscape and resource management practices endorsed by the FAO(Food and Agriculture Organization</w:t>
      </w:r>
      <w:r>
        <w:rPr>
          <w:rFonts w:hint="default" w:ascii="Times New Roman" w:hAnsi="Times New Roman" w:eastAsia="黑体" w:cs="Times New Roman"/>
          <w:sz w:val="24"/>
          <w:vertAlign w:val="superscript"/>
          <w:lang w:val="en-US" w:eastAsia="zh-CN"/>
        </w:rPr>
        <w:t>[2]</w:t>
      </w:r>
      <w:r>
        <w:rPr>
          <w:rFonts w:hint="default" w:ascii="Times New Roman" w:hAnsi="Times New Roman" w:eastAsia="黑体" w:cs="Times New Roman"/>
          <w:sz w:val="24"/>
        </w:rPr>
        <w:t>. As of October 2023, 78 Important Agricultural Cultural Heritage (IACH) sites have been established globally, spread across 24 countries on five continents. Since 2012, National Important Agricultural Cultural Heritage Systems (NIAHS) have also been initiated. In Europe, for example, the Italian Ministry of Agriculture, Food, and Forestry Policies has established the National Register of Historic Rural Landscapes</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3</w:t>
      </w:r>
      <w:r>
        <w:rPr>
          <w:rFonts w:hint="default" w:ascii="Times New Roman" w:hAnsi="Times New Roman" w:eastAsia="黑体" w:cs="Times New Roman"/>
          <w:sz w:val="24"/>
          <w:vertAlign w:val="superscript"/>
          <w:lang w:val="en-US" w:eastAsia="zh-CN"/>
        </w:rPr>
        <w:t>]</w:t>
      </w:r>
      <w:r>
        <w:rPr>
          <w:rFonts w:hint="default" w:ascii="Times New Roman" w:hAnsi="Times New Roman" w:eastAsia="黑体" w:cs="Times New Roman"/>
          <w:sz w:val="24"/>
        </w:rPr>
        <w:t>. These IAHS systems, including both GIAHS and NIAHS, are dynamic, adaptive, composite, and sustainable</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4</w:t>
      </w:r>
      <w:r>
        <w:rPr>
          <w:rFonts w:hint="default" w:ascii="Times New Roman" w:hAnsi="Times New Roman" w:eastAsia="黑体" w:cs="Times New Roman"/>
          <w:sz w:val="24"/>
          <w:vertAlign w:val="superscript"/>
          <w:lang w:val="en-US" w:eastAsia="zh-CN"/>
        </w:rPr>
        <w:t>]</w:t>
      </w:r>
      <w:r>
        <w:rPr>
          <w:rFonts w:hint="default" w:ascii="Times New Roman" w:hAnsi="Times New Roman" w:eastAsia="黑体" w:cs="Times New Roman"/>
          <w:sz w:val="24"/>
        </w:rPr>
        <w:t>.The promotion and implementation of GIAHS has generated substantial interest worldwide, emerging as a distinct field of research. Since the FAO's initial identification of GIAHS, literature related to IAHS has steadily increased, with 2006 marking the beginning of the field of IAHS research</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5</w:t>
      </w:r>
      <w:r>
        <w:rPr>
          <w:rFonts w:hint="default" w:ascii="Times New Roman" w:hAnsi="Times New Roman" w:eastAsia="黑体" w:cs="Times New Roman"/>
          <w:sz w:val="24"/>
          <w:vertAlign w:val="superscript"/>
          <w:lang w:val="en-US" w:eastAsia="zh-CN"/>
        </w:rPr>
        <w:t>]</w:t>
      </w:r>
      <w:r>
        <w:rPr>
          <w:rFonts w:hint="default" w:ascii="Times New Roman" w:hAnsi="Times New Roman" w:eastAsia="黑体" w:cs="Times New Roman"/>
          <w:sz w:val="24"/>
        </w:rPr>
        <w:t>. Therefore, a review of the research outcomes regarding internationally important agricultural cultural heritage over the past 18 years can provide deep insights into the evolving trends of both international and domestic agricultural cultural heritage.Research on globally important agricultural heritage systems began at different times in various countries, resulting in considerable variations in the depth, breadth, focus, and academic disciplines applied to IAHS research. To systematically summarize existing research findings and outline areas for future exploration, numerous scholars have conducted reviews. For instance, Kohsaka et al. utilized text mining to analyze official interviews, revealing practical issues related to citizen participation in GIAHS conservation</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6</w:t>
      </w:r>
      <w:r>
        <w:rPr>
          <w:rFonts w:hint="default" w:ascii="Times New Roman" w:hAnsi="Times New Roman" w:eastAsia="黑体" w:cs="Times New Roman"/>
          <w:sz w:val="24"/>
          <w:vertAlign w:val="superscript"/>
          <w:lang w:val="en-US" w:eastAsia="zh-CN"/>
        </w:rPr>
        <w:t>]</w:t>
      </w:r>
      <w:r>
        <w:rPr>
          <w:rFonts w:hint="default" w:ascii="Times New Roman" w:hAnsi="Times New Roman" w:eastAsia="黑体" w:cs="Times New Roman"/>
          <w:sz w:val="24"/>
        </w:rPr>
        <w:t>. Similarly, they examined official records of GIAHS certification issuance in Japan</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7</w:t>
      </w:r>
      <w:r>
        <w:rPr>
          <w:rFonts w:hint="default" w:ascii="Times New Roman" w:hAnsi="Times New Roman" w:eastAsia="黑体" w:cs="Times New Roman"/>
          <w:sz w:val="24"/>
          <w:vertAlign w:val="superscript"/>
          <w:lang w:val="en-US" w:eastAsia="zh-CN"/>
        </w:rPr>
        <w:t>]</w:t>
      </w:r>
      <w:r>
        <w:rPr>
          <w:rFonts w:hint="default" w:ascii="Times New Roman" w:hAnsi="Times New Roman" w:eastAsia="黑体" w:cs="Times New Roman"/>
          <w:sz w:val="24"/>
        </w:rPr>
        <w:t>. Kajima et al. employed text mining techniques to analyze official minutes from city council meetings, addressing issues surrounding GIAHS certification, especially the relationships between residents and visitors</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8</w:t>
      </w:r>
      <w:r>
        <w:rPr>
          <w:rFonts w:hint="default" w:ascii="Times New Roman" w:hAnsi="Times New Roman" w:eastAsia="黑体" w:cs="Times New Roman"/>
          <w:sz w:val="24"/>
          <w:vertAlign w:val="superscript"/>
          <w:lang w:val="en-US" w:eastAsia="zh-CN"/>
        </w:rPr>
        <w:t>,9]</w:t>
      </w:r>
      <w:r>
        <w:rPr>
          <w:rFonts w:hint="default" w:ascii="Times New Roman" w:hAnsi="Times New Roman" w:eastAsia="黑体" w:cs="Times New Roman"/>
          <w:sz w:val="24"/>
        </w:rPr>
        <w:t>. Nagata summarized the development of GIAHS in Japan over the past decade and proposed strategies for its sustainable development in the future</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10</w:t>
      </w:r>
      <w:r>
        <w:rPr>
          <w:rFonts w:hint="default" w:ascii="Times New Roman" w:hAnsi="Times New Roman" w:eastAsia="黑体" w:cs="Times New Roman"/>
          <w:sz w:val="24"/>
          <w:vertAlign w:val="superscript"/>
          <w:lang w:val="en-US" w:eastAsia="zh-CN"/>
        </w:rPr>
        <w:t>]</w:t>
      </w:r>
      <w:r>
        <w:rPr>
          <w:rFonts w:hint="default" w:ascii="Times New Roman" w:hAnsi="Times New Roman" w:eastAsia="黑体" w:cs="Times New Roman"/>
          <w:sz w:val="24"/>
        </w:rPr>
        <w:t>. Additionally, Zhang et al</w:t>
      </w: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sz w:val="24"/>
        </w:rPr>
        <w:t>employed bibliometric methods to assess IAHS research papers published in China from 2005 to 2015, identifying research hotspots and future priorities in this field</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11</w:t>
      </w:r>
      <w:r>
        <w:rPr>
          <w:rFonts w:hint="default" w:ascii="Times New Roman" w:hAnsi="Times New Roman" w:eastAsia="黑体" w:cs="Times New Roman"/>
          <w:sz w:val="24"/>
          <w:vertAlign w:val="superscript"/>
          <w:lang w:val="en-US" w:eastAsia="zh-CN"/>
        </w:rPr>
        <w:t>]</w:t>
      </w:r>
      <w:r>
        <w:rPr>
          <w:rFonts w:hint="default" w:ascii="Times New Roman" w:hAnsi="Times New Roman" w:eastAsia="黑体" w:cs="Times New Roman"/>
          <w:sz w:val="24"/>
        </w:rPr>
        <w:t>.</w:t>
      </w:r>
    </w:p>
    <w:p w14:paraId="617E404F">
      <w:pPr>
        <w:tabs>
          <w:tab w:val="left" w:pos="1974"/>
        </w:tabs>
        <w:adjustRightInd w:val="0"/>
        <w:spacing w:before="120" w:after="240"/>
        <w:jc w:val="both"/>
        <w:rPr>
          <w:rFonts w:hint="default" w:ascii="Times New Roman" w:hAnsi="Times New Roman" w:eastAsia="黑体" w:cs="Times New Roman"/>
          <w:sz w:val="24"/>
        </w:rPr>
      </w:pPr>
      <w:r>
        <w:rPr>
          <w:rFonts w:hint="default" w:ascii="Times New Roman" w:hAnsi="Times New Roman" w:eastAsia="黑体" w:cs="Times New Roman"/>
          <w:sz w:val="24"/>
        </w:rPr>
        <w:t>While many literature reviews on IAHS research focus on specific regions or countries, relatively few have adopted bibliometric methods to conduct an international review. More critically, as relevant research continues to emerge, scholars’ comprehensive understanding of the development of international GIAHS has become increasingly fragmented. With the expanding volume of studies, there is a pressing need to stay informed about the latest trends in global GIAHS</w:t>
      </w:r>
      <w:r>
        <w:rPr>
          <w:rFonts w:hint="default" w:ascii="Times New Roman" w:hAnsi="Times New Roman" w:eastAsia="黑体" w:cs="Times New Roman"/>
          <w:sz w:val="24"/>
          <w:lang w:eastAsia="zh-CN"/>
        </w:rPr>
        <w:t>–</w:t>
      </w:r>
      <w:r>
        <w:rPr>
          <w:rFonts w:hint="default" w:ascii="Times New Roman" w:hAnsi="Times New Roman" w:eastAsia="黑体" w:cs="Times New Roman"/>
          <w:sz w:val="24"/>
        </w:rPr>
        <w:t>related research. A methodology that can clearly present these trends and guide future research directions is essential. CiteSpace, a powerful literature visualization tool, can address these challenges. Thus, this study utilizes the core literature from the Web of Science database as the sample base and visualizes and analyzes IAHS</w:t>
      </w:r>
      <w:r>
        <w:rPr>
          <w:rFonts w:hint="default" w:ascii="Times New Roman" w:hAnsi="Times New Roman" w:eastAsia="黑体" w:cs="Times New Roman"/>
          <w:sz w:val="24"/>
          <w:lang w:eastAsia="zh-CN"/>
        </w:rPr>
        <w:t>–</w:t>
      </w:r>
      <w:r>
        <w:rPr>
          <w:rFonts w:hint="default" w:ascii="Times New Roman" w:hAnsi="Times New Roman" w:eastAsia="黑体" w:cs="Times New Roman"/>
          <w:sz w:val="24"/>
        </w:rPr>
        <w:t>related topics published between January 1, 2006, and November 8, 2023, using CiteSpace 6.2.R6 software. This paper not only summarizes the current state of IAHS research but also proposes future research directions, offering valuable insights for the development of the theoretical framework of IAHS.</w:t>
      </w:r>
    </w:p>
    <w:p w14:paraId="556968FF">
      <w:pPr>
        <w:tabs>
          <w:tab w:val="left" w:pos="1974"/>
        </w:tabs>
        <w:adjustRightInd w:val="0"/>
        <w:spacing w:before="120" w:after="240"/>
        <w:jc w:val="both"/>
        <w:rPr>
          <w:rFonts w:hint="default" w:ascii="Times New Roman" w:hAnsi="Times New Roman" w:eastAsia="黑体" w:cs="Times New Roman"/>
          <w:sz w:val="24"/>
        </w:rPr>
      </w:pPr>
      <w:bookmarkStart w:id="0" w:name="_GoBack"/>
      <w:bookmarkEnd w:id="0"/>
    </w:p>
    <w:p w14:paraId="5FC049DF">
      <w:pPr>
        <w:tabs>
          <w:tab w:val="left" w:pos="1974"/>
        </w:tabs>
        <w:adjustRightInd w:val="0"/>
        <w:spacing w:before="120" w:after="240"/>
        <w:jc w:val="both"/>
        <w:rPr>
          <w:rFonts w:hint="default" w:ascii="Times New Roman" w:hAnsi="Times New Roman" w:eastAsia="黑体" w:cs="Times New Roman"/>
          <w:sz w:val="24"/>
        </w:rPr>
      </w:pPr>
    </w:p>
    <w:p w14:paraId="3FEFD15E">
      <w:pPr>
        <w:tabs>
          <w:tab w:val="left" w:pos="1974"/>
        </w:tabs>
        <w:adjustRightInd w:val="0"/>
        <w:spacing w:before="120" w:after="240"/>
        <w:jc w:val="both"/>
        <w:rPr>
          <w:rFonts w:hint="default" w:ascii="Times New Roman" w:hAnsi="Times New Roman" w:eastAsia="黑体" w:cs="Times New Roman"/>
          <w:sz w:val="24"/>
        </w:rPr>
      </w:pPr>
    </w:p>
    <w:p w14:paraId="7451F61A">
      <w:pPr>
        <w:pStyle w:val="2"/>
        <w:numPr>
          <w:ilvl w:val="0"/>
          <w:numId w:val="2"/>
        </w:numPr>
        <w:ind w:left="567" w:leftChars="0" w:hanging="567" w:firstLineChars="0"/>
        <w:rPr>
          <w:rFonts w:hint="default" w:ascii="Times New Roman" w:hAnsi="Times New Roman" w:cs="Times New Roman"/>
        </w:rPr>
      </w:pPr>
      <w:r>
        <w:rPr>
          <w:rFonts w:hint="default" w:ascii="Times New Roman" w:hAnsi="Times New Roman" w:cs="Times New Roman"/>
        </w:rPr>
        <w:t>Data and methodology</w:t>
      </w:r>
    </w:p>
    <w:p w14:paraId="6D0F431E">
      <w:pPr>
        <w:pStyle w:val="30"/>
        <w:numPr>
          <w:ilvl w:val="1"/>
          <w:numId w:val="2"/>
        </w:numPr>
        <w:tabs>
          <w:tab w:val="left" w:pos="1974"/>
        </w:tabs>
        <w:adjustRightInd w:val="0"/>
        <w:spacing w:before="240" w:after="200"/>
        <w:ind w:left="283" w:leftChars="0" w:hanging="283" w:firstLineChars="0"/>
        <w:jc w:val="left"/>
        <w:outlineLvl w:val="1"/>
        <w:rPr>
          <w:rFonts w:hint="default" w:ascii="Times New Roman" w:hAnsi="Times New Roman" w:eastAsia="宋体" w:cs="Times New Roman"/>
          <w:b/>
          <w:bCs/>
          <w:sz w:val="24"/>
        </w:rPr>
      </w:pPr>
      <w:r>
        <w:rPr>
          <w:rFonts w:hint="default" w:ascii="Times New Roman" w:hAnsi="Times New Roman" w:eastAsia="宋体" w:cs="Times New Roman"/>
          <w:b/>
          <w:bCs/>
          <w:sz w:val="24"/>
        </w:rPr>
        <w:t>Data sources</w:t>
      </w:r>
    </w:p>
    <w:p w14:paraId="56C000E3">
      <w:pPr>
        <w:tabs>
          <w:tab w:val="left" w:pos="1974"/>
        </w:tabs>
        <w:adjustRightInd w:val="0"/>
        <w:spacing w:before="120" w:after="240"/>
        <w:jc w:val="both"/>
        <w:rPr>
          <w:rFonts w:hint="default" w:ascii="Times New Roman" w:hAnsi="Times New Roman" w:eastAsia="黑体" w:cs="Times New Roman"/>
          <w:sz w:val="24"/>
        </w:rPr>
      </w:pPr>
      <w:r>
        <w:rPr>
          <w:rFonts w:hint="default" w:ascii="Times New Roman" w:hAnsi="Times New Roman" w:eastAsia="黑体" w:cs="Times New Roman"/>
          <w:sz w:val="24"/>
        </w:rPr>
        <w:t>In this study, we conducted a literature search using the core journals from the Web of Science database, employing "agricultural cultural heritage," "GIAHS," "IAHS," and "important agricultural cultural heritage" as the key search terms. Since 2006, scholars have published papers addressing the background and concepts of GIAHS, marking the initial establishment of the IAHS research field</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12</w:t>
      </w:r>
      <w:r>
        <w:rPr>
          <w:rFonts w:hint="default" w:ascii="Times New Roman" w:hAnsi="Times New Roman" w:eastAsia="黑体" w:cs="Times New Roman"/>
          <w:sz w:val="24"/>
          <w:vertAlign w:val="superscript"/>
          <w:lang w:val="en-US" w:eastAsia="zh-CN"/>
        </w:rPr>
        <w:t>]</w:t>
      </w:r>
      <w:r>
        <w:rPr>
          <w:rFonts w:hint="default" w:ascii="Times New Roman" w:hAnsi="Times New Roman" w:eastAsia="黑体" w:cs="Times New Roman"/>
          <w:sz w:val="24"/>
        </w:rPr>
        <w:t>. As such, we restricted the literature search to articles published between January 1, 2006, and November 7, 2023. The types of literature included primarily consisted of English</w:t>
      </w:r>
      <w:r>
        <w:rPr>
          <w:rFonts w:hint="default" w:ascii="Times New Roman" w:hAnsi="Times New Roman" w:eastAsia="黑体" w:cs="Times New Roman"/>
          <w:sz w:val="24"/>
          <w:lang w:eastAsia="zh-CN"/>
        </w:rPr>
        <w:t>–</w:t>
      </w:r>
      <w:r>
        <w:rPr>
          <w:rFonts w:hint="default" w:ascii="Times New Roman" w:hAnsi="Times New Roman" w:eastAsia="黑体" w:cs="Times New Roman"/>
          <w:sz w:val="24"/>
        </w:rPr>
        <w:t>language articles and reviews. After eliminating duplicate entries and papers that were unrelated to the topic, the search results provided a comprehensive overview of IAHS</w:t>
      </w:r>
      <w:r>
        <w:rPr>
          <w:rFonts w:hint="default" w:ascii="Times New Roman" w:hAnsi="Times New Roman" w:eastAsia="黑体" w:cs="Times New Roman"/>
          <w:sz w:val="24"/>
          <w:lang w:eastAsia="zh-CN"/>
        </w:rPr>
        <w:t>–</w:t>
      </w:r>
      <w:r>
        <w:rPr>
          <w:rFonts w:hint="default" w:ascii="Times New Roman" w:hAnsi="Times New Roman" w:eastAsia="黑体" w:cs="Times New Roman"/>
          <w:sz w:val="24"/>
        </w:rPr>
        <w:t>related research over the past 18 years, summarizing the development trends within this field during that period.</w:t>
      </w:r>
    </w:p>
    <w:p w14:paraId="1E561F7D">
      <w:pPr>
        <w:pStyle w:val="30"/>
        <w:numPr>
          <w:ilvl w:val="1"/>
          <w:numId w:val="2"/>
        </w:numPr>
        <w:tabs>
          <w:tab w:val="left" w:pos="1974"/>
        </w:tabs>
        <w:adjustRightInd w:val="0"/>
        <w:spacing w:before="240" w:after="200"/>
        <w:ind w:left="283" w:leftChars="0" w:hanging="283" w:firstLineChars="0"/>
        <w:jc w:val="left"/>
        <w:outlineLvl w:val="1"/>
        <w:rPr>
          <w:rFonts w:hint="default" w:ascii="Times New Roman" w:hAnsi="Times New Roman" w:eastAsia="宋体" w:cs="Times New Roman"/>
          <w:b/>
          <w:bCs/>
          <w:sz w:val="24"/>
        </w:rPr>
      </w:pPr>
      <w:r>
        <w:rPr>
          <w:rFonts w:hint="default" w:ascii="Times New Roman" w:hAnsi="Times New Roman" w:eastAsia="宋体" w:cs="Times New Roman"/>
          <w:b/>
          <w:bCs/>
          <w:sz w:val="24"/>
        </w:rPr>
        <w:t>Methods of analysis</w:t>
      </w:r>
    </w:p>
    <w:p w14:paraId="0CEFB28B">
      <w:pPr>
        <w:tabs>
          <w:tab w:val="left" w:pos="1974"/>
        </w:tabs>
        <w:adjustRightInd w:val="0"/>
        <w:spacing w:before="120" w:after="240"/>
        <w:jc w:val="both"/>
        <w:rPr>
          <w:rFonts w:hint="default" w:ascii="Times New Roman" w:hAnsi="Times New Roman" w:eastAsia="黑体" w:cs="Times New Roman"/>
          <w:sz w:val="24"/>
        </w:rPr>
      </w:pPr>
      <w:r>
        <w:rPr>
          <w:rFonts w:hint="default" w:ascii="Times New Roman" w:hAnsi="Times New Roman" w:eastAsia="黑体" w:cs="Times New Roman"/>
          <w:sz w:val="24"/>
        </w:rPr>
        <w:t xml:space="preserve">CiteSpace, a widely recognized information visualization tool, not only uncovers the knowledge structure within a research field but also illustrates the knowledge evolution process of related areas through knowledge mapping </w:t>
      </w:r>
      <w:r>
        <w:rPr>
          <w:rFonts w:hint="default" w:ascii="Times New Roman" w:hAnsi="Times New Roman" w:eastAsia="黑体" w:cs="Times New Roman"/>
          <w:sz w:val="24"/>
          <w:vertAlign w:val="superscript"/>
          <w:lang w:val="en-US" w:eastAsia="zh-CN"/>
        </w:rPr>
        <w:t>[1</w:t>
      </w:r>
      <w:r>
        <w:rPr>
          <w:rFonts w:hint="eastAsia" w:eastAsia="黑体" w:cs="Times New Roman"/>
          <w:sz w:val="24"/>
          <w:vertAlign w:val="superscript"/>
          <w:lang w:val="en-US" w:eastAsia="zh-CN"/>
        </w:rPr>
        <w:t>3</w:t>
      </w:r>
      <w:r>
        <w:rPr>
          <w:rFonts w:hint="default" w:ascii="Times New Roman" w:hAnsi="Times New Roman" w:eastAsia="黑体" w:cs="Times New Roman"/>
          <w:sz w:val="24"/>
          <w:vertAlign w:val="superscript"/>
          <w:lang w:val="en-US" w:eastAsia="zh-CN"/>
        </w:rPr>
        <w:t>]</w:t>
      </w:r>
      <w:r>
        <w:rPr>
          <w:rFonts w:hint="default" w:ascii="Times New Roman" w:hAnsi="Times New Roman" w:eastAsia="黑体" w:cs="Times New Roman"/>
          <w:sz w:val="24"/>
        </w:rPr>
        <w:t>. Bibliometrics, grounded in quantitative research methods such as mathematical statistics, uses Bradford’s Law to determine the distribution of topics, thereby reflecting the research landscape and progression within a particular field</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14</w:t>
      </w:r>
      <w:r>
        <w:rPr>
          <w:rFonts w:hint="default" w:ascii="Times New Roman" w:hAnsi="Times New Roman" w:eastAsia="黑体" w:cs="Times New Roman"/>
          <w:sz w:val="24"/>
          <w:vertAlign w:val="superscript"/>
          <w:lang w:val="en-US" w:eastAsia="zh-CN"/>
        </w:rPr>
        <w:t>]</w:t>
      </w:r>
      <w:r>
        <w:rPr>
          <w:rFonts w:hint="default" w:ascii="Times New Roman" w:hAnsi="Times New Roman" w:eastAsia="黑体" w:cs="Times New Roman"/>
          <w:sz w:val="24"/>
        </w:rPr>
        <w:t>. Developed by Dr. Chaomei Chen at Drexel University, CiteSpace is a citation network visualization tool</w:t>
      </w:r>
      <w:r>
        <w:rPr>
          <w:rFonts w:hint="default" w:ascii="Times New Roman" w:hAnsi="Times New Roman" w:eastAsia="黑体" w:cs="Times New Roman"/>
          <w:sz w:val="24"/>
          <w:vertAlign w:val="superscript"/>
          <w:lang w:val="en-US" w:eastAsia="zh-CN"/>
        </w:rPr>
        <w:t>[1</w:t>
      </w:r>
      <w:r>
        <w:rPr>
          <w:rFonts w:hint="eastAsia" w:eastAsia="黑体" w:cs="Times New Roman"/>
          <w:sz w:val="24"/>
          <w:vertAlign w:val="superscript"/>
          <w:lang w:val="en-US" w:eastAsia="zh-CN"/>
        </w:rPr>
        <w:t>5</w:t>
      </w:r>
      <w:r>
        <w:rPr>
          <w:rFonts w:hint="default" w:ascii="Times New Roman" w:hAnsi="Times New Roman" w:eastAsia="黑体" w:cs="Times New Roman"/>
          <w:sz w:val="24"/>
          <w:vertAlign w:val="superscript"/>
          <w:lang w:val="en-US" w:eastAsia="zh-CN"/>
        </w:rPr>
        <w:t>]</w:t>
      </w:r>
      <w:r>
        <w:rPr>
          <w:rFonts w:hint="default" w:ascii="Times New Roman" w:hAnsi="Times New Roman" w:eastAsia="黑体" w:cs="Times New Roman"/>
          <w:sz w:val="24"/>
        </w:rPr>
        <w:t>.</w:t>
      </w:r>
    </w:p>
    <w:p w14:paraId="183D78FB">
      <w:pPr>
        <w:tabs>
          <w:tab w:val="left" w:pos="1974"/>
        </w:tabs>
        <w:adjustRightInd w:val="0"/>
        <w:spacing w:before="120" w:after="240"/>
        <w:jc w:val="both"/>
        <w:rPr>
          <w:rFonts w:hint="default" w:ascii="Times New Roman" w:hAnsi="Times New Roman" w:eastAsia="黑体" w:cs="Times New Roman"/>
          <w:sz w:val="24"/>
        </w:rPr>
      </w:pPr>
      <w:r>
        <w:rPr>
          <w:rFonts w:hint="default" w:ascii="Times New Roman" w:hAnsi="Times New Roman" w:eastAsia="黑体" w:cs="Times New Roman"/>
          <w:sz w:val="24"/>
        </w:rPr>
        <w:t>In this study, we utilized the latest version of CiteSpace 6.2.R6, integrating bibliometric methods to visualize and analyze IAHS research, ultimately constructing a knowledge map of the field. This approach facilitates a deeper exploration of the current status and emerging hotspots in GIAHS research. Through keyword co</w:t>
      </w:r>
      <w:r>
        <w:rPr>
          <w:rFonts w:hint="default" w:ascii="Times New Roman" w:hAnsi="Times New Roman" w:eastAsia="黑体" w:cs="Times New Roman"/>
          <w:sz w:val="24"/>
          <w:lang w:eastAsia="zh-CN"/>
        </w:rPr>
        <w:t>–</w:t>
      </w:r>
      <w:r>
        <w:rPr>
          <w:rFonts w:hint="default" w:ascii="Times New Roman" w:hAnsi="Times New Roman" w:eastAsia="黑体" w:cs="Times New Roman"/>
          <w:sz w:val="24"/>
        </w:rPr>
        <w:t xml:space="preserve">occurrence and social network analysis, we identify key research hotspots </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16</w:t>
      </w:r>
      <w:r>
        <w:rPr>
          <w:rFonts w:hint="default" w:ascii="Times New Roman" w:hAnsi="Times New Roman" w:eastAsia="黑体" w:cs="Times New Roman"/>
          <w:sz w:val="24"/>
          <w:vertAlign w:val="superscript"/>
          <w:lang w:val="en-US" w:eastAsia="zh-CN"/>
        </w:rPr>
        <w:t>]</w:t>
      </w:r>
      <w:r>
        <w:rPr>
          <w:rFonts w:hint="default" w:ascii="Times New Roman" w:hAnsi="Times New Roman" w:eastAsia="黑体" w:cs="Times New Roman"/>
          <w:sz w:val="24"/>
        </w:rPr>
        <w:t>. Hotspot emergence analysis and co</w:t>
      </w:r>
      <w:r>
        <w:rPr>
          <w:rFonts w:hint="default" w:ascii="Times New Roman" w:hAnsi="Times New Roman" w:eastAsia="黑体" w:cs="Times New Roman"/>
          <w:sz w:val="24"/>
          <w:lang w:eastAsia="zh-CN"/>
        </w:rPr>
        <w:t>–</w:t>
      </w:r>
      <w:r>
        <w:rPr>
          <w:rFonts w:hint="default" w:ascii="Times New Roman" w:hAnsi="Times New Roman" w:eastAsia="黑体" w:cs="Times New Roman"/>
          <w:sz w:val="24"/>
        </w:rPr>
        <w:t>occurrence clustering analysis effectively highlight prominent themes, where hotspots represent categories of keywords with shared characteristics. These hotspots offer valuable insights for analyzing the overarching trends in IAHS research. Consequently, in CiteSpace, hotspots are often used to predict future research trends</w:t>
      </w:r>
      <w:r>
        <w:rPr>
          <w:rFonts w:hint="default" w:ascii="Times New Roman" w:hAnsi="Times New Roman" w:eastAsia="黑体" w:cs="Times New Roman"/>
          <w:sz w:val="24"/>
          <w:vertAlign w:val="superscript"/>
          <w:lang w:val="en-US" w:eastAsia="zh-CN"/>
        </w:rPr>
        <w:t>[1</w:t>
      </w:r>
      <w:r>
        <w:rPr>
          <w:rFonts w:hint="eastAsia" w:eastAsia="黑体" w:cs="Times New Roman"/>
          <w:sz w:val="24"/>
          <w:vertAlign w:val="superscript"/>
          <w:lang w:val="en-US" w:eastAsia="zh-CN"/>
        </w:rPr>
        <w:t>7</w:t>
      </w:r>
      <w:r>
        <w:rPr>
          <w:rFonts w:hint="default" w:ascii="Times New Roman" w:hAnsi="Times New Roman" w:eastAsia="黑体" w:cs="Times New Roman"/>
          <w:sz w:val="24"/>
          <w:vertAlign w:val="superscript"/>
          <w:lang w:val="en-US" w:eastAsia="zh-CN"/>
        </w:rPr>
        <w:t>]</w:t>
      </w:r>
      <w:r>
        <w:rPr>
          <w:rFonts w:hint="default" w:ascii="Times New Roman" w:hAnsi="Times New Roman" w:eastAsia="黑体" w:cs="Times New Roman"/>
          <w:sz w:val="24"/>
        </w:rPr>
        <w:t>.</w:t>
      </w:r>
    </w:p>
    <w:p w14:paraId="149930F8">
      <w:pPr>
        <w:tabs>
          <w:tab w:val="left" w:pos="1974"/>
        </w:tabs>
        <w:adjustRightInd w:val="0"/>
        <w:spacing w:before="120" w:after="240"/>
        <w:jc w:val="both"/>
        <w:rPr>
          <w:rStyle w:val="27"/>
          <w:rFonts w:hint="default" w:ascii="Times New Roman" w:hAnsi="Times New Roman" w:cs="Times New Roman"/>
          <w:color w:val="auto"/>
          <w:szCs w:val="24"/>
          <w:u w:val="none"/>
        </w:rPr>
      </w:pPr>
      <w:r>
        <w:rPr>
          <w:rFonts w:hint="default" w:ascii="Times New Roman" w:hAnsi="Times New Roman" w:eastAsia="黑体" w:cs="Times New Roman"/>
          <w:sz w:val="24"/>
        </w:rPr>
        <w:t>Additional related terms in this paper stem from studies by Dr. Chaomei Chen and his colleagues. Readers are encouraged to consult relevant literature or books for further details. The knowledge map presented in this article represents the key research topics and hotspots within the international IAHS field.</w:t>
      </w:r>
    </w:p>
    <w:p w14:paraId="678CEF24">
      <w:pPr>
        <w:pStyle w:val="2"/>
        <w:numPr>
          <w:ilvl w:val="0"/>
          <w:numId w:val="2"/>
        </w:numPr>
        <w:ind w:left="567" w:leftChars="0" w:hanging="567" w:firstLineChars="0"/>
        <w:rPr>
          <w:rFonts w:hint="default" w:ascii="Times New Roman" w:hAnsi="Times New Roman" w:cs="Times New Roman"/>
        </w:rPr>
      </w:pPr>
      <w:r>
        <w:rPr>
          <w:rFonts w:hint="default" w:ascii="Times New Roman" w:hAnsi="Times New Roman" w:cs="Times New Roman"/>
        </w:rPr>
        <w:t>Analysis of research progress</w:t>
      </w:r>
    </w:p>
    <w:p w14:paraId="18D2B28D">
      <w:pPr>
        <w:pStyle w:val="3"/>
        <w:numPr>
          <w:ilvl w:val="1"/>
          <w:numId w:val="2"/>
        </w:numPr>
        <w:ind w:left="283" w:leftChars="0" w:hanging="283" w:firstLineChars="0"/>
        <w:rPr>
          <w:rFonts w:hint="default" w:ascii="Times New Roman" w:hAnsi="Times New Roman" w:cs="Times New Roman"/>
        </w:rPr>
      </w:pPr>
      <w:r>
        <w:rPr>
          <w:rFonts w:hint="default" w:ascii="Times New Roman" w:hAnsi="Times New Roman" w:cs="Times New Roman"/>
        </w:rPr>
        <w:t>Analysis of IAHS Research Progress</w:t>
      </w:r>
    </w:p>
    <w:p w14:paraId="0151A9A6">
      <w:pPr>
        <w:pStyle w:val="30"/>
        <w:keepNext w:val="0"/>
        <w:keepLines w:val="0"/>
        <w:pageBreakBefore w:val="0"/>
        <w:widowControl/>
        <w:numPr>
          <w:ilvl w:val="0"/>
          <w:numId w:val="4"/>
        </w:numPr>
        <w:tabs>
          <w:tab w:val="left" w:pos="1470"/>
          <w:tab w:val="left" w:pos="1974"/>
        </w:tabs>
        <w:kinsoku/>
        <w:wordWrap/>
        <w:overflowPunct/>
        <w:topLinePunct w:val="0"/>
        <w:autoSpaceDE/>
        <w:autoSpaceDN/>
        <w:bidi w:val="0"/>
        <w:adjustRightInd/>
        <w:snapToGrid/>
        <w:spacing w:before="40" w:after="120"/>
        <w:ind w:left="361" w:leftChars="0" w:hanging="361" w:firstLineChars="0"/>
        <w:jc w:val="left"/>
        <w:textAlignment w:val="auto"/>
        <w:outlineLvl w:val="2"/>
        <w:rPr>
          <w:rFonts w:hint="default" w:ascii="Times New Roman" w:hAnsi="Times New Roman" w:eastAsia="宋体" w:cs="Times New Roman"/>
          <w:b/>
          <w:bCs/>
          <w:sz w:val="24"/>
        </w:rPr>
      </w:pPr>
      <w:r>
        <w:rPr>
          <w:rFonts w:hint="default" w:ascii="Times New Roman" w:hAnsi="Times New Roman" w:eastAsia="宋体" w:cs="Times New Roman"/>
          <w:b/>
          <w:bCs/>
          <w:sz w:val="24"/>
        </w:rPr>
        <w:t>Changes in the number of publications issued</w:t>
      </w:r>
    </w:p>
    <w:p w14:paraId="1396C1A9">
      <w:pPr>
        <w:tabs>
          <w:tab w:val="left" w:pos="1974"/>
        </w:tabs>
        <w:adjustRightInd w:val="0"/>
        <w:spacing w:before="120" w:after="240"/>
        <w:jc w:val="both"/>
        <w:rPr>
          <w:rFonts w:hint="default" w:ascii="Times New Roman" w:hAnsi="Times New Roman" w:eastAsia="黑体" w:cs="Times New Roman"/>
          <w:sz w:val="24"/>
        </w:rPr>
      </w:pPr>
      <w:r>
        <w:rPr>
          <w:rFonts w:hint="default" w:ascii="Times New Roman" w:hAnsi="Times New Roman" w:eastAsia="黑体" w:cs="Times New Roman"/>
          <w:sz w:val="24"/>
        </w:rPr>
        <w:t xml:space="preserve">To gain insights into the trends of Globally Important Agricultural Heritage Systems (GIAHS) research from 2006 to 2023, we analyzed the last 18 years of publications in the Web of Science core collection. The results of the literature search are illustrated in </w:t>
      </w:r>
      <w:r>
        <w:rPr>
          <w:rFonts w:hint="default" w:ascii="Times New Roman" w:hAnsi="Times New Roman" w:eastAsia="黑体" w:cs="Times New Roman"/>
          <w:sz w:val="24"/>
          <w:lang w:eastAsia="zh-CN"/>
        </w:rPr>
        <w:t>Figure.</w:t>
      </w:r>
      <w:r>
        <w:rPr>
          <w:rFonts w:hint="default" w:ascii="Times New Roman" w:hAnsi="Times New Roman" w:eastAsia="黑体" w:cs="Times New Roman"/>
          <w:sz w:val="24"/>
        </w:rPr>
        <w:t xml:space="preserve"> 1. The number of publications on GIAHS demonstrates clear fluctuations, followed by a general upward trend during this period (see </w:t>
      </w:r>
      <w:r>
        <w:rPr>
          <w:rFonts w:hint="default" w:ascii="Times New Roman" w:hAnsi="Times New Roman" w:eastAsia="黑体" w:cs="Times New Roman"/>
          <w:sz w:val="24"/>
          <w:lang w:eastAsia="zh-CN"/>
        </w:rPr>
        <w:t>Figure.</w:t>
      </w:r>
      <w:r>
        <w:rPr>
          <w:rFonts w:hint="default" w:ascii="Times New Roman" w:hAnsi="Times New Roman" w:eastAsia="黑体" w:cs="Times New Roman"/>
          <w:sz w:val="24"/>
        </w:rPr>
        <w:t xml:space="preserve"> 1). In 2006, only 16 articles were published, primarily offering brief introductions to GIAHS. By 2023, the number of published papers had increased to 38, reflecting growing academic interest.</w:t>
      </w:r>
    </w:p>
    <w:p w14:paraId="3B36BF20">
      <w:pPr>
        <w:tabs>
          <w:tab w:val="left" w:pos="1974"/>
        </w:tabs>
        <w:adjustRightInd w:val="0"/>
        <w:spacing w:after="60"/>
        <w:jc w:val="center"/>
        <w:rPr>
          <w:rFonts w:hint="default" w:ascii="Times New Roman" w:hAnsi="Times New Roman" w:cs="Times New Roman"/>
          <w:b/>
          <w:bCs/>
          <w:color w:val="000000"/>
        </w:rPr>
      </w:pPr>
    </w:p>
    <w:p w14:paraId="11C22B05">
      <w:pPr>
        <w:tabs>
          <w:tab w:val="left" w:pos="1974"/>
        </w:tabs>
        <w:adjustRightInd w:val="0"/>
        <w:spacing w:after="60"/>
        <w:jc w:val="center"/>
        <w:rPr>
          <w:rFonts w:hint="default" w:ascii="Times New Roman" w:hAnsi="Times New Roman" w:eastAsia="楷体" w:cs="Times New Roman"/>
          <w:sz w:val="22"/>
          <w:szCs w:val="22"/>
        </w:rPr>
      </w:pPr>
      <w:r>
        <w:rPr>
          <w:rFonts w:hint="default" w:ascii="Times New Roman" w:hAnsi="Times New Roman" w:cs="Times New Roman"/>
          <w:b/>
          <w:bCs/>
          <w:color w:val="000000"/>
        </w:rPr>
        <w:t>Figure 1</w:t>
      </w:r>
      <w:r>
        <w:rPr>
          <w:rFonts w:hint="default" w:ascii="Times New Roman" w:hAnsi="Times New Roman" w:eastAsia="楷体" w:cs="Times New Roman"/>
          <w:b/>
          <w:bCs/>
          <w:sz w:val="24"/>
        </w:rPr>
        <w:t>:</w:t>
      </w:r>
      <w:r>
        <w:rPr>
          <w:rFonts w:hint="default" w:ascii="Times New Roman" w:hAnsi="Times New Roman" w:eastAsia="楷体" w:cs="Times New Roman"/>
          <w:sz w:val="24"/>
        </w:rPr>
        <w:t xml:space="preserve"> Annual Distribution of International IAHS Research Publications from 2006 to 2023</w:t>
      </w:r>
    </w:p>
    <w:p w14:paraId="54616694">
      <w:pPr>
        <w:tabs>
          <w:tab w:val="left" w:pos="1974"/>
        </w:tabs>
        <w:adjustRightInd w:val="0"/>
        <w:spacing w:before="120" w:after="240"/>
        <w:jc w:val="both"/>
        <w:rPr>
          <w:rFonts w:hint="default" w:ascii="Times New Roman" w:hAnsi="Times New Roman" w:eastAsia="黑体" w:cs="Times New Roman"/>
          <w:sz w:val="24"/>
        </w:rPr>
      </w:pPr>
      <w:r>
        <w:rPr>
          <w:rFonts w:hint="default" w:ascii="Times New Roman" w:hAnsi="Times New Roman" w:eastAsia="黑体" w:cs="Times New Roman"/>
          <w:sz w:val="24"/>
        </w:rPr>
        <w:drawing>
          <wp:anchor distT="0" distB="0" distL="0" distR="0" simplePos="0" relativeHeight="251659264" behindDoc="0" locked="0" layoutInCell="1" allowOverlap="1">
            <wp:simplePos x="0" y="0"/>
            <wp:positionH relativeFrom="column">
              <wp:posOffset>459740</wp:posOffset>
            </wp:positionH>
            <wp:positionV relativeFrom="page">
              <wp:posOffset>409575</wp:posOffset>
            </wp:positionV>
            <wp:extent cx="5135880" cy="2369820"/>
            <wp:effectExtent l="4445" t="4445" r="22225" b="6985"/>
            <wp:wrapTopAndBottom/>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default" w:ascii="Times New Roman" w:hAnsi="Times New Roman" w:eastAsia="黑体" w:cs="Times New Roman"/>
          <w:sz w:val="24"/>
        </w:rPr>
        <w:t>Based on the fluctuating trends in the number of publications, we can categorize the development of international IAHS research into two distinct phases. The first phase, spanning from 2006 to 2014, is characterized as a fluctuating growth phase. During this period, the volume of literature remained relatively low, with a trend that initially increased and then declined, peaking at around 20 publications or fewer. Notably, two peaks in research activity occurred in 2008 and 2014. This indicates that IAHS research was still in its nascent stage during this period, with only a few institutions or researchers actively contributing to the GIAHS program and IAHS research.The second phase, from 2014 to 2023, marks a period of steady and sustained growth in the volume of literature, suggesting that international IAHS research is gaining momentum and increasing in prominence. The rising number of publications indicates that more international scholars are engaging with IAHS research from various perspectives. This phase signals the transition of IAHS research into a phase of rapid development and growing global recognition.</w:t>
      </w:r>
    </w:p>
    <w:p w14:paraId="34930091">
      <w:pPr>
        <w:pStyle w:val="30"/>
        <w:numPr>
          <w:ilvl w:val="0"/>
          <w:numId w:val="4"/>
        </w:numPr>
        <w:tabs>
          <w:tab w:val="left" w:pos="1974"/>
        </w:tabs>
        <w:spacing w:before="40" w:after="120"/>
        <w:ind w:left="361" w:leftChars="0" w:hanging="361" w:firstLineChars="0"/>
        <w:jc w:val="left"/>
        <w:outlineLvl w:val="2"/>
        <w:rPr>
          <w:rFonts w:hint="default" w:ascii="Times New Roman" w:hAnsi="Times New Roman" w:eastAsia="宋体" w:cs="Times New Roman"/>
          <w:b/>
          <w:bCs/>
          <w:sz w:val="24"/>
        </w:rPr>
      </w:pPr>
      <w:r>
        <w:rPr>
          <w:rFonts w:hint="default" w:ascii="Times New Roman" w:hAnsi="Times New Roman" w:eastAsia="宋体" w:cs="Times New Roman"/>
          <w:b/>
          <w:bCs/>
          <w:sz w:val="24"/>
        </w:rPr>
        <w:t>Analysis of Publishing Countries and Institutions</w:t>
      </w:r>
    </w:p>
    <w:p w14:paraId="356EACA9">
      <w:pPr>
        <w:tabs>
          <w:tab w:val="left" w:pos="1974"/>
        </w:tabs>
        <w:adjustRightInd w:val="0"/>
        <w:spacing w:before="120" w:after="240"/>
        <w:jc w:val="both"/>
        <w:rPr>
          <w:rFonts w:hint="default" w:ascii="Times New Roman" w:hAnsi="Times New Roman" w:eastAsia="黑体" w:cs="Times New Roman"/>
          <w:sz w:val="24"/>
        </w:rPr>
      </w:pPr>
      <w:r>
        <w:rPr>
          <w:rFonts w:hint="default" w:ascii="Times New Roman" w:hAnsi="Times New Roman" w:eastAsia="黑体" w:cs="Times New Roman"/>
          <w:sz w:val="24"/>
        </w:rPr>
        <w:t xml:space="preserve">To gain a deeper understanding of the cooperation trends between different countries in the IAHS field and the influence of each country in this domain, we used the "Country" option in the node type column of CiteSpace 6.2.R6 software, setting the time range from 2006 to 2023. This enabled us to generate a country collaboration map, as shown in </w:t>
      </w:r>
      <w:r>
        <w:rPr>
          <w:rFonts w:hint="default" w:ascii="Times New Roman" w:hAnsi="Times New Roman" w:eastAsia="黑体" w:cs="Times New Roman"/>
          <w:sz w:val="24"/>
          <w:lang w:eastAsia="zh-CN"/>
        </w:rPr>
        <w:t>Figure.</w:t>
      </w:r>
      <w:r>
        <w:rPr>
          <w:rFonts w:hint="default" w:ascii="Times New Roman" w:hAnsi="Times New Roman" w:eastAsia="黑体" w:cs="Times New Roman"/>
          <w:sz w:val="24"/>
        </w:rPr>
        <w:t xml:space="preserve"> 2 and Table 1. Leveraging CiteSpace’s social network analysis functionality, we explored the social network relationships between countries and institutions involved in IAHS research at both macro and micro levels. This analytical approach provides a visual representation of the collaborative landscape of IAHS research, highlighting the cooperation patterns among different countries and institutions. Additionally, it reflects the influence of each country or institution in the international IAHS field</w:t>
      </w:r>
      <w:r>
        <w:rPr>
          <w:rFonts w:hint="default" w:ascii="Times New Roman" w:hAnsi="Times New Roman" w:eastAsia="黑体" w:cs="Times New Roman"/>
          <w:sz w:val="24"/>
          <w:vertAlign w:val="superscript"/>
          <w:lang w:val="en-US" w:eastAsia="zh-CN"/>
        </w:rPr>
        <w:t>[1</w:t>
      </w:r>
      <w:r>
        <w:rPr>
          <w:rFonts w:hint="eastAsia" w:eastAsia="黑体" w:cs="Times New Roman"/>
          <w:sz w:val="24"/>
          <w:vertAlign w:val="superscript"/>
          <w:lang w:val="en-US" w:eastAsia="zh-CN"/>
        </w:rPr>
        <w:t>8</w:t>
      </w:r>
      <w:r>
        <w:rPr>
          <w:rFonts w:hint="default" w:ascii="Times New Roman" w:hAnsi="Times New Roman" w:eastAsia="黑体" w:cs="Times New Roman"/>
          <w:sz w:val="24"/>
          <w:vertAlign w:val="superscript"/>
          <w:lang w:val="en-US" w:eastAsia="zh-CN"/>
        </w:rPr>
        <w:t>]</w:t>
      </w:r>
      <w:r>
        <w:rPr>
          <w:rFonts w:hint="default" w:ascii="Times New Roman" w:hAnsi="Times New Roman" w:eastAsia="黑体" w:cs="Times New Roman"/>
          <w:sz w:val="24"/>
        </w:rPr>
        <w:t>. Notably, the CiteSpace international collaboration map reveals the structural features of research clusters, emphasizing key nodes and significant connections within the network.</w:t>
      </w:r>
    </w:p>
    <w:p w14:paraId="034EB87F">
      <w:pPr>
        <w:tabs>
          <w:tab w:val="left" w:pos="1974"/>
        </w:tabs>
        <w:adjustRightInd w:val="0"/>
        <w:spacing w:before="120" w:after="240"/>
        <w:jc w:val="both"/>
        <w:rPr>
          <w:rFonts w:hint="default" w:ascii="Times New Roman" w:hAnsi="Times New Roman" w:eastAsia="黑体" w:cs="Times New Roman"/>
          <w:sz w:val="24"/>
        </w:rPr>
      </w:pPr>
      <w:r>
        <w:rPr>
          <w:rFonts w:hint="default" w:ascii="Times New Roman" w:hAnsi="Times New Roman" w:eastAsia="黑体" w:cs="Times New Roman"/>
          <w:sz w:val="24"/>
        </w:rPr>
        <w:t>To gain a deeper understanding of international IAHS cooperation, we used CiteSpace software to generate a country node map, where each node represents a country, and the connecting lines indicate the level of collaboration between countries. The size of the nodes in the map reflects the number of IAHS</w:t>
      </w:r>
      <w:r>
        <w:rPr>
          <w:rFonts w:hint="default" w:ascii="Times New Roman" w:hAnsi="Times New Roman" w:eastAsia="黑体" w:cs="Times New Roman"/>
          <w:sz w:val="24"/>
          <w:lang w:eastAsia="zh-CN"/>
        </w:rPr>
        <w:t>–</w:t>
      </w:r>
      <w:r>
        <w:rPr>
          <w:rFonts w:hint="default" w:ascii="Times New Roman" w:hAnsi="Times New Roman" w:eastAsia="黑体" w:cs="Times New Roman"/>
          <w:sz w:val="24"/>
        </w:rPr>
        <w:t>related publications produced by each country, while the thickness of the lines indicates the strength of collaboration between two countries</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19</w:t>
      </w:r>
      <w:r>
        <w:rPr>
          <w:rFonts w:hint="default" w:ascii="Times New Roman" w:hAnsi="Times New Roman" w:eastAsia="黑体" w:cs="Times New Roman"/>
          <w:sz w:val="24"/>
          <w:vertAlign w:val="superscript"/>
          <w:lang w:val="en-US" w:eastAsia="zh-CN"/>
        </w:rPr>
        <w:t>]</w:t>
      </w:r>
      <w:r>
        <w:rPr>
          <w:rFonts w:hint="default" w:ascii="Times New Roman" w:hAnsi="Times New Roman" w:eastAsia="黑体" w:cs="Times New Roman"/>
          <w:sz w:val="24"/>
        </w:rPr>
        <w:t>. By setting the "country" as the network node, we obtained a network map with 22 nodes and 225 connecting lines.</w:t>
      </w:r>
      <w:r>
        <w:rPr>
          <w:rFonts w:hint="default" w:ascii="Times New Roman" w:hAnsi="Times New Roman" w:eastAsia="楷体" w:cs="Times New Roman"/>
          <w:sz w:val="24"/>
        </w:rPr>
        <w:t xml:space="preserve"> This indicates that between 2006 and 2023, IAHS</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 xml:space="preserve">related literature originated from 22 different countries. The density of the IAHS cooperation network was calculated as 0.3561 (see </w:t>
      </w:r>
      <w:r>
        <w:rPr>
          <w:rFonts w:hint="default" w:ascii="Times New Roman" w:hAnsi="Times New Roman" w:eastAsia="楷体" w:cs="Times New Roman"/>
          <w:sz w:val="24"/>
          <w:lang w:eastAsia="zh-CN"/>
        </w:rPr>
        <w:t>Figure.</w:t>
      </w:r>
      <w:r>
        <w:rPr>
          <w:rFonts w:hint="default" w:ascii="Times New Roman" w:hAnsi="Times New Roman" w:eastAsia="楷体" w:cs="Times New Roman"/>
          <w:sz w:val="24"/>
        </w:rPr>
        <w:t xml:space="preserve"> 2). This map highlights the extent of collaboration between these countries in the IAHS field. Among these countries, the top 10 with the highest number of IAHS publications are: Canada, China, the United States, the Netherlands, the United Kingdom, Italy, Australia, Sweden, France, and Austria (see Table 1). Observing </w:t>
      </w:r>
      <w:r>
        <w:rPr>
          <w:rFonts w:hint="default" w:ascii="Times New Roman" w:hAnsi="Times New Roman" w:eastAsia="楷体" w:cs="Times New Roman"/>
          <w:sz w:val="24"/>
          <w:lang w:eastAsia="zh-CN"/>
        </w:rPr>
        <w:t>Figure.</w:t>
      </w:r>
      <w:r>
        <w:rPr>
          <w:rFonts w:hint="default" w:ascii="Times New Roman" w:hAnsi="Times New Roman" w:eastAsia="楷体" w:cs="Times New Roman"/>
          <w:sz w:val="24"/>
        </w:rPr>
        <w:t xml:space="preserve"> 2 and Table 1, we find that the United Kingdom and Italy exhibit higher levels of collaboration with other countries, while China shows relatively lower levels of cooperation with other nations.</w:t>
      </w:r>
    </w:p>
    <w:p w14:paraId="7CBB53A6">
      <w:pPr>
        <w:tabs>
          <w:tab w:val="left" w:pos="1974"/>
        </w:tabs>
        <w:adjustRightInd w:val="0"/>
        <w:ind w:firstLine="241" w:firstLineChars="100"/>
        <w:jc w:val="center"/>
        <w:rPr>
          <w:rFonts w:hint="default" w:ascii="Times New Roman" w:hAnsi="Times New Roman" w:eastAsia="楷体" w:cs="Times New Roman"/>
          <w:sz w:val="24"/>
        </w:rPr>
      </w:pPr>
      <w:r>
        <w:rPr>
          <w:rFonts w:hint="default" w:ascii="Times New Roman" w:hAnsi="Times New Roman" w:eastAsia="楷体" w:cs="Times New Roman"/>
          <w:b/>
          <w:bCs/>
          <w:sz w:val="24"/>
        </w:rPr>
        <w:t>Table 1.</w:t>
      </w:r>
      <w:r>
        <w:rPr>
          <w:rFonts w:hint="default" w:ascii="Times New Roman" w:hAnsi="Times New Roman" w:eastAsia="楷体" w:cs="Times New Roman"/>
          <w:sz w:val="24"/>
        </w:rPr>
        <w:t xml:space="preserve"> High</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Yield Countries in International IAHS Literature (2006</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2023)</w:t>
      </w:r>
    </w:p>
    <w:tbl>
      <w:tblPr>
        <w:tblStyle w:val="55"/>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604"/>
        <w:gridCol w:w="1627"/>
        <w:gridCol w:w="1963"/>
        <w:gridCol w:w="1647"/>
      </w:tblGrid>
      <w:tr w14:paraId="5BF4DB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tcBorders>
              <w:top w:val="single" w:color="auto" w:sz="4" w:space="0"/>
              <w:left w:val="nil"/>
              <w:bottom w:val="single" w:color="auto" w:sz="4" w:space="0"/>
              <w:right w:val="nil"/>
            </w:tcBorders>
            <w:vAlign w:val="center"/>
          </w:tcPr>
          <w:p w14:paraId="1873BBA0">
            <w:pPr>
              <w:autoSpaceDE w:val="0"/>
              <w:adjustRightInd w:val="0"/>
              <w:rPr>
                <w:rFonts w:hint="default" w:ascii="Times New Roman" w:hAnsi="Times New Roman" w:eastAsia="宋体" w:cs="Times New Roman"/>
                <w:b/>
                <w:bCs/>
                <w:sz w:val="24"/>
              </w:rPr>
            </w:pPr>
            <w:r>
              <w:rPr>
                <w:rFonts w:hint="default" w:ascii="Times New Roman" w:hAnsi="Times New Roman" w:eastAsia="Times New Roman" w:cs="Times New Roman"/>
                <w:b/>
                <w:bCs/>
                <w:sz w:val="24"/>
              </w:rPr>
              <w:t>sort</w:t>
            </w:r>
          </w:p>
        </w:tc>
        <w:tc>
          <w:tcPr>
            <w:tcW w:w="1604" w:type="dxa"/>
            <w:tcBorders>
              <w:top w:val="single" w:color="auto" w:sz="4" w:space="0"/>
              <w:left w:val="nil"/>
              <w:bottom w:val="single" w:color="auto" w:sz="4" w:space="0"/>
              <w:right w:val="nil"/>
            </w:tcBorders>
            <w:vAlign w:val="center"/>
          </w:tcPr>
          <w:p w14:paraId="4532526D">
            <w:pPr>
              <w:autoSpaceDE w:val="0"/>
              <w:adjustRightInd w:val="0"/>
              <w:rPr>
                <w:rFonts w:hint="default" w:ascii="Times New Roman" w:hAnsi="Times New Roman" w:eastAsia="Times New Roman" w:cs="Times New Roman"/>
                <w:b/>
                <w:bCs/>
                <w:sz w:val="24"/>
              </w:rPr>
            </w:pPr>
            <w:r>
              <w:rPr>
                <w:rFonts w:hint="default" w:ascii="Times New Roman" w:hAnsi="Times New Roman" w:eastAsia="Times New Roman" w:cs="Times New Roman"/>
                <w:b/>
                <w:bCs/>
                <w:sz w:val="24"/>
              </w:rPr>
              <w:t>node number</w:t>
            </w:r>
          </w:p>
        </w:tc>
        <w:tc>
          <w:tcPr>
            <w:tcW w:w="1627" w:type="dxa"/>
            <w:tcBorders>
              <w:top w:val="single" w:color="auto" w:sz="4" w:space="0"/>
              <w:left w:val="nil"/>
              <w:bottom w:val="single" w:color="auto" w:sz="4" w:space="0"/>
              <w:right w:val="nil"/>
            </w:tcBorders>
            <w:vAlign w:val="center"/>
          </w:tcPr>
          <w:p w14:paraId="7C1E5BE8">
            <w:pPr>
              <w:autoSpaceDE w:val="0"/>
              <w:adjustRightInd w:val="0"/>
              <w:rPr>
                <w:rFonts w:hint="default" w:ascii="Times New Roman" w:hAnsi="Times New Roman" w:eastAsia="Times New Roman" w:cs="Times New Roman"/>
                <w:b/>
                <w:bCs/>
                <w:sz w:val="24"/>
              </w:rPr>
            </w:pPr>
            <w:r>
              <w:rPr>
                <w:rFonts w:hint="default" w:ascii="Times New Roman" w:hAnsi="Times New Roman" w:eastAsia="Times New Roman" w:cs="Times New Roman"/>
                <w:b/>
                <w:bCs/>
                <w:sz w:val="24"/>
              </w:rPr>
              <w:t>centrality</w:t>
            </w:r>
          </w:p>
        </w:tc>
        <w:tc>
          <w:tcPr>
            <w:tcW w:w="1963" w:type="dxa"/>
            <w:tcBorders>
              <w:top w:val="single" w:color="auto" w:sz="4" w:space="0"/>
              <w:left w:val="nil"/>
              <w:bottom w:val="single" w:color="auto" w:sz="4" w:space="0"/>
              <w:right w:val="nil"/>
            </w:tcBorders>
            <w:vAlign w:val="center"/>
          </w:tcPr>
          <w:p w14:paraId="571B0141">
            <w:pPr>
              <w:autoSpaceDE w:val="0"/>
              <w:adjustRightInd w:val="0"/>
              <w:rPr>
                <w:rFonts w:hint="default" w:ascii="Times New Roman" w:hAnsi="Times New Roman" w:eastAsia="Times New Roman" w:cs="Times New Roman"/>
                <w:b/>
                <w:bCs/>
                <w:sz w:val="24"/>
              </w:rPr>
            </w:pPr>
            <w:r>
              <w:rPr>
                <w:rFonts w:hint="default" w:ascii="Times New Roman" w:hAnsi="Times New Roman" w:eastAsia="Times New Roman" w:cs="Times New Roman"/>
                <w:b/>
                <w:bCs/>
                <w:sz w:val="24"/>
              </w:rPr>
              <w:t>country</w:t>
            </w:r>
          </w:p>
        </w:tc>
        <w:tc>
          <w:tcPr>
            <w:tcW w:w="1647" w:type="dxa"/>
            <w:tcBorders>
              <w:top w:val="single" w:color="auto" w:sz="4" w:space="0"/>
              <w:left w:val="nil"/>
              <w:bottom w:val="single" w:color="auto" w:sz="4" w:space="0"/>
              <w:right w:val="nil"/>
            </w:tcBorders>
            <w:vAlign w:val="center"/>
          </w:tcPr>
          <w:p w14:paraId="424F1051">
            <w:pPr>
              <w:autoSpaceDE w:val="0"/>
              <w:adjustRightInd w:val="0"/>
              <w:rPr>
                <w:rFonts w:hint="default" w:ascii="Times New Roman" w:hAnsi="Times New Roman" w:eastAsia="Times New Roman" w:cs="Times New Roman"/>
                <w:b/>
                <w:bCs/>
                <w:sz w:val="24"/>
              </w:rPr>
            </w:pPr>
            <w:r>
              <w:rPr>
                <w:rFonts w:hint="default" w:ascii="Times New Roman" w:hAnsi="Times New Roman" w:eastAsia="Times New Roman" w:cs="Times New Roman"/>
                <w:b/>
                <w:bCs/>
                <w:sz w:val="24"/>
              </w:rPr>
              <w:t>percentage</w:t>
            </w:r>
          </w:p>
        </w:tc>
      </w:tr>
      <w:tr w14:paraId="1B76B2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tcBorders>
              <w:top w:val="single" w:color="auto" w:sz="4" w:space="0"/>
              <w:left w:val="nil"/>
              <w:bottom w:val="nil"/>
              <w:right w:val="nil"/>
            </w:tcBorders>
            <w:vAlign w:val="center"/>
          </w:tcPr>
          <w:p w14:paraId="22730013">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1</w:t>
            </w:r>
          </w:p>
        </w:tc>
        <w:tc>
          <w:tcPr>
            <w:tcW w:w="1604" w:type="dxa"/>
            <w:tcBorders>
              <w:top w:val="single" w:color="auto" w:sz="4" w:space="0"/>
              <w:left w:val="nil"/>
              <w:bottom w:val="nil"/>
              <w:right w:val="nil"/>
            </w:tcBorders>
            <w:vAlign w:val="center"/>
          </w:tcPr>
          <w:p w14:paraId="3C953562">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189</w:t>
            </w:r>
          </w:p>
        </w:tc>
        <w:tc>
          <w:tcPr>
            <w:tcW w:w="1627" w:type="dxa"/>
            <w:tcBorders>
              <w:top w:val="single" w:color="auto" w:sz="4" w:space="0"/>
              <w:left w:val="nil"/>
              <w:bottom w:val="nil"/>
              <w:right w:val="nil"/>
            </w:tcBorders>
            <w:vAlign w:val="center"/>
          </w:tcPr>
          <w:p w14:paraId="5EDB3BC1">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0.47</w:t>
            </w:r>
          </w:p>
        </w:tc>
        <w:tc>
          <w:tcPr>
            <w:tcW w:w="1963" w:type="dxa"/>
            <w:tcBorders>
              <w:top w:val="single" w:color="auto" w:sz="4" w:space="0"/>
              <w:left w:val="nil"/>
              <w:bottom w:val="nil"/>
              <w:right w:val="nil"/>
            </w:tcBorders>
            <w:vAlign w:val="center"/>
          </w:tcPr>
          <w:p w14:paraId="706713C2">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CANADA</w:t>
            </w:r>
          </w:p>
        </w:tc>
        <w:tc>
          <w:tcPr>
            <w:tcW w:w="1647" w:type="dxa"/>
            <w:tcBorders>
              <w:top w:val="single" w:color="auto" w:sz="4" w:space="0"/>
              <w:left w:val="nil"/>
              <w:bottom w:val="nil"/>
              <w:right w:val="nil"/>
            </w:tcBorders>
            <w:vAlign w:val="center"/>
          </w:tcPr>
          <w:p w14:paraId="09545847">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0.35</w:t>
            </w:r>
          </w:p>
        </w:tc>
      </w:tr>
      <w:tr w14:paraId="28E807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tcBorders>
              <w:top w:val="nil"/>
              <w:left w:val="nil"/>
              <w:bottom w:val="nil"/>
              <w:right w:val="nil"/>
            </w:tcBorders>
            <w:vAlign w:val="center"/>
          </w:tcPr>
          <w:p w14:paraId="2954C238">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2</w:t>
            </w:r>
          </w:p>
        </w:tc>
        <w:tc>
          <w:tcPr>
            <w:tcW w:w="1604" w:type="dxa"/>
            <w:tcBorders>
              <w:top w:val="nil"/>
              <w:left w:val="nil"/>
              <w:bottom w:val="nil"/>
              <w:right w:val="nil"/>
            </w:tcBorders>
            <w:vAlign w:val="center"/>
          </w:tcPr>
          <w:p w14:paraId="2393A94C">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89</w:t>
            </w:r>
          </w:p>
        </w:tc>
        <w:tc>
          <w:tcPr>
            <w:tcW w:w="1627" w:type="dxa"/>
            <w:tcBorders>
              <w:top w:val="nil"/>
              <w:left w:val="nil"/>
              <w:bottom w:val="nil"/>
              <w:right w:val="nil"/>
            </w:tcBorders>
            <w:vAlign w:val="center"/>
          </w:tcPr>
          <w:p w14:paraId="288402BF">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0.14</w:t>
            </w:r>
          </w:p>
        </w:tc>
        <w:tc>
          <w:tcPr>
            <w:tcW w:w="1963" w:type="dxa"/>
            <w:tcBorders>
              <w:top w:val="nil"/>
              <w:left w:val="nil"/>
              <w:bottom w:val="nil"/>
              <w:right w:val="nil"/>
            </w:tcBorders>
            <w:vAlign w:val="center"/>
          </w:tcPr>
          <w:p w14:paraId="17539382">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CHINA</w:t>
            </w:r>
          </w:p>
        </w:tc>
        <w:tc>
          <w:tcPr>
            <w:tcW w:w="1647" w:type="dxa"/>
            <w:tcBorders>
              <w:top w:val="nil"/>
              <w:left w:val="nil"/>
              <w:bottom w:val="nil"/>
              <w:right w:val="nil"/>
            </w:tcBorders>
            <w:vAlign w:val="center"/>
          </w:tcPr>
          <w:p w14:paraId="5C38B931">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0.16</w:t>
            </w:r>
          </w:p>
        </w:tc>
      </w:tr>
      <w:tr w14:paraId="7675B4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tcBorders>
              <w:top w:val="nil"/>
              <w:left w:val="nil"/>
              <w:bottom w:val="nil"/>
              <w:right w:val="nil"/>
            </w:tcBorders>
            <w:vAlign w:val="center"/>
          </w:tcPr>
          <w:p w14:paraId="160A25E1">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3</w:t>
            </w:r>
          </w:p>
        </w:tc>
        <w:tc>
          <w:tcPr>
            <w:tcW w:w="1604" w:type="dxa"/>
            <w:tcBorders>
              <w:top w:val="nil"/>
              <w:left w:val="nil"/>
              <w:bottom w:val="nil"/>
              <w:right w:val="nil"/>
            </w:tcBorders>
            <w:vAlign w:val="center"/>
          </w:tcPr>
          <w:p w14:paraId="2AF4014A">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83</w:t>
            </w:r>
          </w:p>
        </w:tc>
        <w:tc>
          <w:tcPr>
            <w:tcW w:w="1627" w:type="dxa"/>
            <w:tcBorders>
              <w:top w:val="nil"/>
              <w:left w:val="nil"/>
              <w:bottom w:val="nil"/>
              <w:right w:val="nil"/>
            </w:tcBorders>
            <w:vAlign w:val="center"/>
          </w:tcPr>
          <w:p w14:paraId="2800CB85">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0.11</w:t>
            </w:r>
          </w:p>
        </w:tc>
        <w:tc>
          <w:tcPr>
            <w:tcW w:w="1963" w:type="dxa"/>
            <w:tcBorders>
              <w:top w:val="nil"/>
              <w:left w:val="nil"/>
              <w:bottom w:val="nil"/>
              <w:right w:val="nil"/>
            </w:tcBorders>
            <w:vAlign w:val="center"/>
          </w:tcPr>
          <w:p w14:paraId="772703CB">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USA</w:t>
            </w:r>
          </w:p>
        </w:tc>
        <w:tc>
          <w:tcPr>
            <w:tcW w:w="1647" w:type="dxa"/>
            <w:tcBorders>
              <w:top w:val="nil"/>
              <w:left w:val="nil"/>
              <w:bottom w:val="nil"/>
              <w:right w:val="nil"/>
            </w:tcBorders>
            <w:vAlign w:val="center"/>
          </w:tcPr>
          <w:p w14:paraId="38859A25">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0.13</w:t>
            </w:r>
          </w:p>
        </w:tc>
      </w:tr>
      <w:tr w14:paraId="46DAD8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tcBorders>
              <w:top w:val="nil"/>
              <w:left w:val="nil"/>
              <w:bottom w:val="nil"/>
              <w:right w:val="nil"/>
            </w:tcBorders>
            <w:vAlign w:val="center"/>
          </w:tcPr>
          <w:p w14:paraId="10971883">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4</w:t>
            </w:r>
          </w:p>
        </w:tc>
        <w:tc>
          <w:tcPr>
            <w:tcW w:w="1604" w:type="dxa"/>
            <w:tcBorders>
              <w:top w:val="nil"/>
              <w:left w:val="nil"/>
              <w:bottom w:val="nil"/>
              <w:right w:val="nil"/>
            </w:tcBorders>
            <w:vAlign w:val="center"/>
          </w:tcPr>
          <w:p w14:paraId="5B6FB6C2">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58</w:t>
            </w:r>
          </w:p>
        </w:tc>
        <w:tc>
          <w:tcPr>
            <w:tcW w:w="1627" w:type="dxa"/>
            <w:tcBorders>
              <w:top w:val="nil"/>
              <w:left w:val="nil"/>
              <w:bottom w:val="nil"/>
              <w:right w:val="nil"/>
            </w:tcBorders>
            <w:vAlign w:val="center"/>
          </w:tcPr>
          <w:p w14:paraId="4DC7F857">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0.19</w:t>
            </w:r>
          </w:p>
        </w:tc>
        <w:tc>
          <w:tcPr>
            <w:tcW w:w="1963" w:type="dxa"/>
            <w:tcBorders>
              <w:top w:val="nil"/>
              <w:left w:val="nil"/>
              <w:bottom w:val="nil"/>
              <w:right w:val="nil"/>
            </w:tcBorders>
            <w:vAlign w:val="center"/>
          </w:tcPr>
          <w:p w14:paraId="50BA0FA4">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NETHERLANDS</w:t>
            </w:r>
          </w:p>
        </w:tc>
        <w:tc>
          <w:tcPr>
            <w:tcW w:w="1647" w:type="dxa"/>
            <w:tcBorders>
              <w:top w:val="nil"/>
              <w:left w:val="nil"/>
              <w:bottom w:val="nil"/>
              <w:right w:val="nil"/>
            </w:tcBorders>
            <w:vAlign w:val="center"/>
          </w:tcPr>
          <w:p w14:paraId="709B49A9">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0.09</w:t>
            </w:r>
          </w:p>
        </w:tc>
      </w:tr>
      <w:tr w14:paraId="78DB5A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tcBorders>
              <w:top w:val="nil"/>
              <w:left w:val="nil"/>
              <w:bottom w:val="nil"/>
              <w:right w:val="nil"/>
            </w:tcBorders>
            <w:vAlign w:val="center"/>
          </w:tcPr>
          <w:p w14:paraId="61518DE6">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5</w:t>
            </w:r>
          </w:p>
        </w:tc>
        <w:tc>
          <w:tcPr>
            <w:tcW w:w="1604" w:type="dxa"/>
            <w:tcBorders>
              <w:top w:val="nil"/>
              <w:left w:val="nil"/>
              <w:bottom w:val="nil"/>
              <w:right w:val="nil"/>
            </w:tcBorders>
            <w:vAlign w:val="center"/>
          </w:tcPr>
          <w:p w14:paraId="2C882910">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49</w:t>
            </w:r>
          </w:p>
        </w:tc>
        <w:tc>
          <w:tcPr>
            <w:tcW w:w="1627" w:type="dxa"/>
            <w:tcBorders>
              <w:top w:val="nil"/>
              <w:left w:val="nil"/>
              <w:bottom w:val="nil"/>
              <w:right w:val="nil"/>
            </w:tcBorders>
            <w:vAlign w:val="center"/>
          </w:tcPr>
          <w:p w14:paraId="0D02F357">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0.09</w:t>
            </w:r>
          </w:p>
        </w:tc>
        <w:tc>
          <w:tcPr>
            <w:tcW w:w="1963" w:type="dxa"/>
            <w:tcBorders>
              <w:top w:val="nil"/>
              <w:left w:val="nil"/>
              <w:bottom w:val="nil"/>
              <w:right w:val="nil"/>
            </w:tcBorders>
            <w:vAlign w:val="center"/>
          </w:tcPr>
          <w:p w14:paraId="66089A61">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ENGLAND</w:t>
            </w:r>
          </w:p>
        </w:tc>
        <w:tc>
          <w:tcPr>
            <w:tcW w:w="1647" w:type="dxa"/>
            <w:tcBorders>
              <w:top w:val="nil"/>
              <w:left w:val="nil"/>
              <w:bottom w:val="nil"/>
              <w:right w:val="nil"/>
            </w:tcBorders>
            <w:vAlign w:val="center"/>
          </w:tcPr>
          <w:p w14:paraId="4056EE16">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0.08</w:t>
            </w:r>
          </w:p>
        </w:tc>
      </w:tr>
      <w:tr w14:paraId="482648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tcBorders>
              <w:top w:val="nil"/>
              <w:left w:val="nil"/>
              <w:bottom w:val="nil"/>
              <w:right w:val="nil"/>
            </w:tcBorders>
            <w:vAlign w:val="center"/>
          </w:tcPr>
          <w:p w14:paraId="3758D108">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6</w:t>
            </w:r>
          </w:p>
        </w:tc>
        <w:tc>
          <w:tcPr>
            <w:tcW w:w="1604" w:type="dxa"/>
            <w:tcBorders>
              <w:top w:val="nil"/>
              <w:left w:val="nil"/>
              <w:bottom w:val="nil"/>
              <w:right w:val="nil"/>
            </w:tcBorders>
            <w:vAlign w:val="center"/>
          </w:tcPr>
          <w:p w14:paraId="722B88ED">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48</w:t>
            </w:r>
          </w:p>
        </w:tc>
        <w:tc>
          <w:tcPr>
            <w:tcW w:w="1627" w:type="dxa"/>
            <w:tcBorders>
              <w:top w:val="nil"/>
              <w:left w:val="nil"/>
              <w:bottom w:val="nil"/>
              <w:right w:val="nil"/>
            </w:tcBorders>
            <w:vAlign w:val="center"/>
          </w:tcPr>
          <w:p w14:paraId="0695A00F">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0.12</w:t>
            </w:r>
          </w:p>
        </w:tc>
        <w:tc>
          <w:tcPr>
            <w:tcW w:w="1963" w:type="dxa"/>
            <w:tcBorders>
              <w:top w:val="nil"/>
              <w:left w:val="nil"/>
              <w:bottom w:val="nil"/>
              <w:right w:val="nil"/>
            </w:tcBorders>
            <w:vAlign w:val="center"/>
          </w:tcPr>
          <w:p w14:paraId="69D1DED3">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ITALY</w:t>
            </w:r>
          </w:p>
        </w:tc>
        <w:tc>
          <w:tcPr>
            <w:tcW w:w="1647" w:type="dxa"/>
            <w:tcBorders>
              <w:top w:val="nil"/>
              <w:left w:val="nil"/>
              <w:bottom w:val="nil"/>
              <w:right w:val="nil"/>
            </w:tcBorders>
            <w:vAlign w:val="center"/>
          </w:tcPr>
          <w:p w14:paraId="4CB41276">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0.08</w:t>
            </w:r>
          </w:p>
        </w:tc>
      </w:tr>
      <w:tr w14:paraId="5F54FD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tcBorders>
              <w:top w:val="nil"/>
              <w:left w:val="nil"/>
              <w:bottom w:val="nil"/>
              <w:right w:val="nil"/>
            </w:tcBorders>
            <w:vAlign w:val="center"/>
          </w:tcPr>
          <w:p w14:paraId="02A0F5BE">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7</w:t>
            </w:r>
          </w:p>
        </w:tc>
        <w:tc>
          <w:tcPr>
            <w:tcW w:w="1604" w:type="dxa"/>
            <w:tcBorders>
              <w:top w:val="nil"/>
              <w:left w:val="nil"/>
              <w:bottom w:val="nil"/>
              <w:right w:val="nil"/>
            </w:tcBorders>
            <w:vAlign w:val="center"/>
          </w:tcPr>
          <w:p w14:paraId="0718CD17">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32</w:t>
            </w:r>
          </w:p>
        </w:tc>
        <w:tc>
          <w:tcPr>
            <w:tcW w:w="1627" w:type="dxa"/>
            <w:tcBorders>
              <w:top w:val="nil"/>
              <w:left w:val="nil"/>
              <w:bottom w:val="nil"/>
              <w:right w:val="nil"/>
            </w:tcBorders>
            <w:vAlign w:val="center"/>
          </w:tcPr>
          <w:p w14:paraId="3E78EFE8">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0.3</w:t>
            </w:r>
          </w:p>
        </w:tc>
        <w:tc>
          <w:tcPr>
            <w:tcW w:w="1963" w:type="dxa"/>
            <w:tcBorders>
              <w:top w:val="nil"/>
              <w:left w:val="nil"/>
              <w:bottom w:val="nil"/>
              <w:right w:val="nil"/>
            </w:tcBorders>
            <w:vAlign w:val="center"/>
          </w:tcPr>
          <w:p w14:paraId="68484A08">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AUSTRALIA</w:t>
            </w:r>
          </w:p>
        </w:tc>
        <w:tc>
          <w:tcPr>
            <w:tcW w:w="1647" w:type="dxa"/>
            <w:tcBorders>
              <w:top w:val="nil"/>
              <w:left w:val="nil"/>
              <w:bottom w:val="nil"/>
              <w:right w:val="nil"/>
            </w:tcBorders>
            <w:vAlign w:val="center"/>
          </w:tcPr>
          <w:p w14:paraId="794688B7">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0.05</w:t>
            </w:r>
          </w:p>
        </w:tc>
      </w:tr>
      <w:tr w14:paraId="0AA30A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tcBorders>
              <w:top w:val="nil"/>
              <w:left w:val="nil"/>
              <w:bottom w:val="nil"/>
              <w:right w:val="nil"/>
            </w:tcBorders>
            <w:vAlign w:val="center"/>
          </w:tcPr>
          <w:p w14:paraId="2D81DA52">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8</w:t>
            </w:r>
          </w:p>
        </w:tc>
        <w:tc>
          <w:tcPr>
            <w:tcW w:w="1604" w:type="dxa"/>
            <w:tcBorders>
              <w:top w:val="nil"/>
              <w:left w:val="nil"/>
              <w:bottom w:val="nil"/>
              <w:right w:val="nil"/>
            </w:tcBorders>
            <w:vAlign w:val="center"/>
          </w:tcPr>
          <w:p w14:paraId="46E66DE7">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32</w:t>
            </w:r>
          </w:p>
        </w:tc>
        <w:tc>
          <w:tcPr>
            <w:tcW w:w="1627" w:type="dxa"/>
            <w:tcBorders>
              <w:top w:val="nil"/>
              <w:left w:val="nil"/>
              <w:bottom w:val="nil"/>
              <w:right w:val="nil"/>
            </w:tcBorders>
            <w:vAlign w:val="center"/>
          </w:tcPr>
          <w:p w14:paraId="445AD30D">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0.1</w:t>
            </w:r>
          </w:p>
        </w:tc>
        <w:tc>
          <w:tcPr>
            <w:tcW w:w="1963" w:type="dxa"/>
            <w:tcBorders>
              <w:top w:val="nil"/>
              <w:left w:val="nil"/>
              <w:bottom w:val="nil"/>
              <w:right w:val="nil"/>
            </w:tcBorders>
            <w:vAlign w:val="center"/>
          </w:tcPr>
          <w:p w14:paraId="23CD6102">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SWEDEN</w:t>
            </w:r>
          </w:p>
        </w:tc>
        <w:tc>
          <w:tcPr>
            <w:tcW w:w="1647" w:type="dxa"/>
            <w:tcBorders>
              <w:top w:val="nil"/>
              <w:left w:val="nil"/>
              <w:bottom w:val="nil"/>
              <w:right w:val="nil"/>
            </w:tcBorders>
            <w:vAlign w:val="center"/>
          </w:tcPr>
          <w:p w14:paraId="0AD05E26">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0.05</w:t>
            </w:r>
          </w:p>
        </w:tc>
      </w:tr>
      <w:tr w14:paraId="2C347F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tcBorders>
              <w:top w:val="nil"/>
              <w:left w:val="nil"/>
              <w:bottom w:val="nil"/>
              <w:right w:val="nil"/>
            </w:tcBorders>
            <w:vAlign w:val="center"/>
          </w:tcPr>
          <w:p w14:paraId="2F4A33E4">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9</w:t>
            </w:r>
          </w:p>
        </w:tc>
        <w:tc>
          <w:tcPr>
            <w:tcW w:w="1604" w:type="dxa"/>
            <w:tcBorders>
              <w:top w:val="nil"/>
              <w:left w:val="nil"/>
              <w:bottom w:val="nil"/>
              <w:right w:val="nil"/>
            </w:tcBorders>
            <w:vAlign w:val="center"/>
          </w:tcPr>
          <w:p w14:paraId="3578686B">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28</w:t>
            </w:r>
          </w:p>
        </w:tc>
        <w:tc>
          <w:tcPr>
            <w:tcW w:w="1627" w:type="dxa"/>
            <w:tcBorders>
              <w:top w:val="nil"/>
              <w:left w:val="nil"/>
              <w:bottom w:val="nil"/>
              <w:right w:val="nil"/>
            </w:tcBorders>
            <w:vAlign w:val="center"/>
          </w:tcPr>
          <w:p w14:paraId="4DD1C6BF">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0.14</w:t>
            </w:r>
          </w:p>
        </w:tc>
        <w:tc>
          <w:tcPr>
            <w:tcW w:w="1963" w:type="dxa"/>
            <w:tcBorders>
              <w:top w:val="nil"/>
              <w:left w:val="nil"/>
              <w:bottom w:val="nil"/>
              <w:right w:val="nil"/>
            </w:tcBorders>
            <w:vAlign w:val="center"/>
          </w:tcPr>
          <w:p w14:paraId="256395EA">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FRANCE</w:t>
            </w:r>
          </w:p>
        </w:tc>
        <w:tc>
          <w:tcPr>
            <w:tcW w:w="1647" w:type="dxa"/>
            <w:tcBorders>
              <w:top w:val="nil"/>
              <w:left w:val="nil"/>
              <w:bottom w:val="nil"/>
              <w:right w:val="nil"/>
            </w:tcBorders>
            <w:vAlign w:val="center"/>
          </w:tcPr>
          <w:p w14:paraId="02A0C645">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0.04</w:t>
            </w:r>
          </w:p>
        </w:tc>
      </w:tr>
      <w:tr w14:paraId="0D3E2C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tcBorders>
              <w:top w:val="nil"/>
              <w:left w:val="nil"/>
              <w:bottom w:val="single" w:color="auto" w:sz="4" w:space="0"/>
              <w:right w:val="nil"/>
            </w:tcBorders>
            <w:vAlign w:val="center"/>
          </w:tcPr>
          <w:p w14:paraId="12A81B45">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10</w:t>
            </w:r>
          </w:p>
        </w:tc>
        <w:tc>
          <w:tcPr>
            <w:tcW w:w="1604" w:type="dxa"/>
            <w:tcBorders>
              <w:top w:val="nil"/>
              <w:left w:val="nil"/>
              <w:bottom w:val="single" w:color="auto" w:sz="4" w:space="0"/>
              <w:right w:val="nil"/>
            </w:tcBorders>
            <w:vAlign w:val="center"/>
          </w:tcPr>
          <w:p w14:paraId="6768F888">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26</w:t>
            </w:r>
          </w:p>
        </w:tc>
        <w:tc>
          <w:tcPr>
            <w:tcW w:w="1627" w:type="dxa"/>
            <w:tcBorders>
              <w:top w:val="nil"/>
              <w:left w:val="nil"/>
              <w:bottom w:val="single" w:color="auto" w:sz="4" w:space="0"/>
              <w:right w:val="nil"/>
            </w:tcBorders>
            <w:vAlign w:val="center"/>
          </w:tcPr>
          <w:p w14:paraId="23A287C0">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0.04</w:t>
            </w:r>
          </w:p>
        </w:tc>
        <w:tc>
          <w:tcPr>
            <w:tcW w:w="1963" w:type="dxa"/>
            <w:tcBorders>
              <w:top w:val="nil"/>
              <w:left w:val="nil"/>
              <w:bottom w:val="single" w:color="auto" w:sz="4" w:space="0"/>
              <w:right w:val="nil"/>
            </w:tcBorders>
            <w:vAlign w:val="center"/>
          </w:tcPr>
          <w:p w14:paraId="1E0ADD11">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AUSTRIA</w:t>
            </w:r>
          </w:p>
        </w:tc>
        <w:tc>
          <w:tcPr>
            <w:tcW w:w="1647" w:type="dxa"/>
            <w:tcBorders>
              <w:top w:val="nil"/>
              <w:left w:val="nil"/>
              <w:bottom w:val="single" w:color="auto" w:sz="4" w:space="0"/>
              <w:right w:val="nil"/>
            </w:tcBorders>
            <w:vAlign w:val="center"/>
          </w:tcPr>
          <w:p w14:paraId="1BFCD221">
            <w:pPr>
              <w:autoSpaceDE w:val="0"/>
              <w:adjustRightInd w:val="0"/>
              <w:rPr>
                <w:rFonts w:hint="default" w:ascii="Times New Roman" w:hAnsi="Times New Roman" w:eastAsia="Times New Roman" w:cs="Times New Roman"/>
                <w:sz w:val="24"/>
              </w:rPr>
            </w:pPr>
            <w:r>
              <w:rPr>
                <w:rFonts w:hint="default" w:ascii="Times New Roman" w:hAnsi="Times New Roman" w:eastAsia="Times New Roman" w:cs="Times New Roman"/>
                <w:sz w:val="24"/>
              </w:rPr>
              <w:t>0.04</w:t>
            </w:r>
          </w:p>
        </w:tc>
      </w:tr>
    </w:tbl>
    <w:p w14:paraId="32826E54">
      <w:pPr>
        <w:tabs>
          <w:tab w:val="left" w:pos="1974"/>
        </w:tabs>
        <w:adjustRightInd w:val="0"/>
        <w:jc w:val="center"/>
        <w:rPr>
          <w:rFonts w:hint="default" w:ascii="Times New Roman" w:hAnsi="Times New Roman" w:eastAsia="楷体" w:cs="Times New Roman"/>
          <w:sz w:val="24"/>
        </w:rPr>
      </w:pPr>
      <w:r>
        <w:rPr>
          <w:rFonts w:hint="default" w:ascii="Times New Roman" w:hAnsi="Times New Roman" w:cs="Times New Roman"/>
        </w:rPr>
        <w:drawing>
          <wp:inline distT="0" distB="0" distL="0" distR="0">
            <wp:extent cx="4589145" cy="2273935"/>
            <wp:effectExtent l="0" t="0" r="1905"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4589145" cy="2273935"/>
                    </a:xfrm>
                    <a:prstGeom prst="rect">
                      <a:avLst/>
                    </a:prstGeom>
                    <a:noFill/>
                    <a:ln>
                      <a:noFill/>
                    </a:ln>
                  </pic:spPr>
                </pic:pic>
              </a:graphicData>
            </a:graphic>
          </wp:inline>
        </w:drawing>
      </w:r>
    </w:p>
    <w:p w14:paraId="0638CC93">
      <w:pPr>
        <w:tabs>
          <w:tab w:val="left" w:pos="1974"/>
        </w:tabs>
        <w:adjustRightInd w:val="0"/>
        <w:spacing w:after="60"/>
        <w:jc w:val="center"/>
        <w:rPr>
          <w:rFonts w:hint="default" w:ascii="Times New Roman" w:hAnsi="Times New Roman" w:eastAsia="楷体" w:cs="Times New Roman"/>
          <w:sz w:val="24"/>
        </w:rPr>
      </w:pPr>
      <w:r>
        <w:rPr>
          <w:rFonts w:hint="default" w:ascii="Times New Roman" w:hAnsi="Times New Roman" w:cs="Times New Roman"/>
          <w:b/>
          <w:bCs/>
          <w:color w:val="000000"/>
        </w:rPr>
        <w:t>Figure</w:t>
      </w:r>
      <w:r>
        <w:rPr>
          <w:rFonts w:hint="default" w:ascii="Times New Roman" w:hAnsi="Times New Roman" w:eastAsia="楷体" w:cs="Times New Roman"/>
          <w:b/>
          <w:bCs/>
          <w:sz w:val="24"/>
        </w:rPr>
        <w:t xml:space="preserve"> 2:</w:t>
      </w:r>
      <w:r>
        <w:rPr>
          <w:rFonts w:hint="default" w:ascii="Times New Roman" w:hAnsi="Times New Roman" w:eastAsia="楷体" w:cs="Times New Roman"/>
          <w:sz w:val="24"/>
        </w:rPr>
        <w:t xml:space="preserve"> International Collaboration Map of IAHS Research from 2006 to 2023</w:t>
      </w:r>
    </w:p>
    <w:p w14:paraId="0C45C7BE">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Among the countries, Canada has published the most IAHS research papers (189), accounting for 35.20% of the total publications. Following Canada are China, the United States, the Netherlands, the United Kingdom, and Italy, which contribute 16.58%, 13.01%, 9.67%, 8.89%, and 8.56% of the total literature, respectively. Centrality reflects the importance of a node within the network (see Table 1). The centrality of a node represents the percentage of the shortest paths in the network that pass through that node</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19</w:t>
      </w:r>
      <w:r>
        <w:rPr>
          <w:rFonts w:hint="default" w:ascii="Times New Roman" w:hAnsi="Times New Roman" w:eastAsia="黑体" w:cs="Times New Roman"/>
          <w:sz w:val="24"/>
          <w:vertAlign w:val="superscript"/>
          <w:lang w:val="en-US" w:eastAsia="zh-CN"/>
        </w:rPr>
        <w:t>]</w:t>
      </w:r>
      <w:r>
        <w:rPr>
          <w:rFonts w:hint="default" w:ascii="Times New Roman" w:hAnsi="Times New Roman" w:eastAsia="楷体" w:cs="Times New Roman"/>
          <w:sz w:val="24"/>
        </w:rPr>
        <w:t>. The greater the node's degree of association, the higher its centrality, indicating its greater influence within the domain</w:t>
      </w:r>
      <w:r>
        <w:rPr>
          <w:rFonts w:hint="default" w:ascii="Times New Roman" w:hAnsi="Times New Roman" w:eastAsia="黑体" w:cs="Times New Roman"/>
          <w:sz w:val="24"/>
          <w:vertAlign w:val="superscript"/>
          <w:lang w:val="en-US" w:eastAsia="zh-CN"/>
        </w:rPr>
        <w:t>[15]</w:t>
      </w:r>
      <w:r>
        <w:rPr>
          <w:rFonts w:hint="default" w:ascii="Times New Roman" w:hAnsi="Times New Roman" w:eastAsia="楷体" w:cs="Times New Roman"/>
          <w:sz w:val="24"/>
        </w:rPr>
        <w:t>. Canada has a centrality of 0.47, which indicates stronger collaboration with other countries in IAHS research. Although China ranks second in terms of the number of publications, its centrality is relatively low (centrality of 0.14). This suggests that China’s collaboration with other countries in international IAHS research remains weak.</w:t>
      </w:r>
    </w:p>
    <w:p w14:paraId="2A083484">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A comprehensive understanding of high</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level international research institutions involved in Global Important Agricultural Heritage Systems (GIAHS) helps to reveal the distribution of research institutions and the extent of international collaboration in the field. Therefore, this study focused on institutions and conducted a search for GIAHS</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 xml:space="preserve">related literature in CiteSpace 6.2.R6. Using "organization" as the network node, a map was generated with 394 nodes, representing 394 core research institutions in the IAHS field. Chinese institutions include the Chinese Academy of Sciences, University of Chinese Academy of Sciences, Chinese Academy of Agricultural Sciences, Beijing Union University, Renmin University of China, and China Agricultural University. Representative institutions from other countries include McMaster University, University of Twente, University of Toronto, Delft University of Technology, University of Florence, Vienna University of Technology, Western University, University of Bologna, University of Padua in Italy, Commonwealth Scientific and Industrial Research Organisation (CSIRO) in Australia, and the University of Arizona in the United States (see </w:t>
      </w:r>
      <w:r>
        <w:rPr>
          <w:rFonts w:hint="default" w:ascii="Times New Roman" w:hAnsi="Times New Roman" w:eastAsia="楷体" w:cs="Times New Roman"/>
          <w:sz w:val="24"/>
          <w:lang w:eastAsia="zh-CN"/>
        </w:rPr>
        <w:t>Figure.</w:t>
      </w:r>
      <w:r>
        <w:rPr>
          <w:rFonts w:hint="default" w:ascii="Times New Roman" w:hAnsi="Times New Roman" w:eastAsia="楷体" w:cs="Times New Roman"/>
          <w:sz w:val="24"/>
        </w:rPr>
        <w:t xml:space="preserve"> 3 and Table 2).</w:t>
      </w:r>
    </w:p>
    <w:p w14:paraId="5714A8C8">
      <w:pPr>
        <w:tabs>
          <w:tab w:val="left" w:pos="1974"/>
        </w:tabs>
        <w:adjustRightInd w:val="0"/>
        <w:spacing w:before="120" w:after="240"/>
        <w:jc w:val="center"/>
        <w:rPr>
          <w:rFonts w:hint="default" w:ascii="Times New Roman" w:hAnsi="Times New Roman" w:eastAsia="楷体" w:cs="Times New Roman"/>
          <w:sz w:val="24"/>
        </w:rPr>
      </w:pPr>
      <w:r>
        <w:rPr>
          <w:rFonts w:hint="default" w:ascii="Times New Roman" w:hAnsi="Times New Roman" w:cs="Times New Roman"/>
        </w:rPr>
        <w:drawing>
          <wp:inline distT="0" distB="0" distL="0" distR="0">
            <wp:extent cx="5039995" cy="2699385"/>
            <wp:effectExtent l="0" t="0" r="8255" b="5715"/>
            <wp:docPr id="10" name="图片 1" descr="`HZ0L(IRUKX3SLE`$B6[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HZ0L(IRUKX3SLE`$B6[E1D"/>
                    <pic:cNvPicPr>
                      <a:picLocks noChangeAspect="1"/>
                    </pic:cNvPicPr>
                  </pic:nvPicPr>
                  <pic:blipFill>
                    <a:blip r:embed="rId11"/>
                    <a:stretch>
                      <a:fillRect/>
                    </a:stretch>
                  </pic:blipFill>
                  <pic:spPr>
                    <a:xfrm>
                      <a:off x="0" y="0"/>
                      <a:ext cx="5040000" cy="2700000"/>
                    </a:xfrm>
                    <a:prstGeom prst="rect">
                      <a:avLst/>
                    </a:prstGeom>
                  </pic:spPr>
                </pic:pic>
              </a:graphicData>
            </a:graphic>
          </wp:inline>
        </w:drawing>
      </w:r>
    </w:p>
    <w:p w14:paraId="59F19A59">
      <w:pPr>
        <w:tabs>
          <w:tab w:val="left" w:pos="1974"/>
        </w:tabs>
        <w:adjustRightInd w:val="0"/>
        <w:spacing w:after="60"/>
        <w:jc w:val="center"/>
        <w:rPr>
          <w:rFonts w:hint="default" w:ascii="Times New Roman" w:hAnsi="Times New Roman" w:eastAsia="楷体" w:cs="Times New Roman"/>
          <w:sz w:val="24"/>
        </w:rPr>
      </w:pPr>
      <w:r>
        <w:rPr>
          <w:rFonts w:hint="default" w:ascii="Times New Roman" w:hAnsi="Times New Roman" w:cs="Times New Roman"/>
          <w:b/>
          <w:bCs/>
          <w:color w:val="000000"/>
        </w:rPr>
        <w:t>Figure</w:t>
      </w:r>
      <w:r>
        <w:rPr>
          <w:rFonts w:hint="default" w:ascii="Times New Roman" w:hAnsi="Times New Roman" w:eastAsia="楷体" w:cs="Times New Roman"/>
          <w:b/>
          <w:bCs/>
          <w:sz w:val="24"/>
        </w:rPr>
        <w:t xml:space="preserve"> 3:</w:t>
      </w:r>
      <w:r>
        <w:rPr>
          <w:rFonts w:hint="default" w:ascii="Times New Roman" w:hAnsi="Times New Roman" w:eastAsia="楷体" w:cs="Times New Roman"/>
          <w:sz w:val="24"/>
        </w:rPr>
        <w:t xml:space="preserve"> Academic Institutions in International IAHS Research from 2006 to 2023</w:t>
      </w:r>
    </w:p>
    <w:p w14:paraId="43CC65B1">
      <w:pPr>
        <w:tabs>
          <w:tab w:val="left" w:pos="1974"/>
        </w:tabs>
        <w:adjustRightInd w:val="0"/>
        <w:ind w:firstLine="241" w:firstLineChars="100"/>
        <w:jc w:val="center"/>
        <w:rPr>
          <w:rFonts w:hint="default" w:ascii="Times New Roman" w:hAnsi="Times New Roman" w:eastAsia="楷体" w:cs="Times New Roman"/>
          <w:b/>
          <w:bCs/>
          <w:sz w:val="24"/>
        </w:rPr>
      </w:pPr>
    </w:p>
    <w:p w14:paraId="605D5706">
      <w:pPr>
        <w:tabs>
          <w:tab w:val="left" w:pos="1974"/>
        </w:tabs>
        <w:adjustRightInd w:val="0"/>
        <w:ind w:firstLine="241" w:firstLineChars="100"/>
        <w:jc w:val="center"/>
        <w:rPr>
          <w:rFonts w:hint="default" w:ascii="Times New Roman" w:hAnsi="Times New Roman" w:eastAsia="楷体" w:cs="Times New Roman"/>
          <w:b/>
          <w:bCs/>
          <w:sz w:val="24"/>
        </w:rPr>
      </w:pPr>
    </w:p>
    <w:p w14:paraId="4D975FE3">
      <w:pPr>
        <w:tabs>
          <w:tab w:val="left" w:pos="1974"/>
        </w:tabs>
        <w:adjustRightInd w:val="0"/>
        <w:ind w:firstLine="241" w:firstLineChars="100"/>
        <w:jc w:val="center"/>
        <w:rPr>
          <w:rFonts w:hint="default" w:ascii="Times New Roman" w:hAnsi="Times New Roman" w:eastAsia="楷体" w:cs="Times New Roman"/>
          <w:b/>
          <w:bCs/>
          <w:sz w:val="24"/>
        </w:rPr>
      </w:pPr>
    </w:p>
    <w:p w14:paraId="50AF078E">
      <w:pPr>
        <w:tabs>
          <w:tab w:val="left" w:pos="1974"/>
        </w:tabs>
        <w:adjustRightInd w:val="0"/>
        <w:ind w:firstLine="241" w:firstLineChars="100"/>
        <w:jc w:val="center"/>
        <w:rPr>
          <w:rFonts w:hint="default" w:ascii="Times New Roman" w:hAnsi="Times New Roman" w:eastAsia="楷体" w:cs="Times New Roman"/>
          <w:b/>
          <w:bCs/>
          <w:sz w:val="24"/>
        </w:rPr>
      </w:pPr>
    </w:p>
    <w:p w14:paraId="396209AA">
      <w:pPr>
        <w:tabs>
          <w:tab w:val="left" w:pos="1974"/>
        </w:tabs>
        <w:adjustRightInd w:val="0"/>
        <w:ind w:firstLine="241" w:firstLineChars="100"/>
        <w:jc w:val="center"/>
        <w:rPr>
          <w:rFonts w:hint="default" w:ascii="Times New Roman" w:hAnsi="Times New Roman" w:eastAsia="楷体" w:cs="Times New Roman"/>
          <w:sz w:val="24"/>
        </w:rPr>
      </w:pPr>
      <w:r>
        <w:rPr>
          <w:rFonts w:hint="default" w:ascii="Times New Roman" w:hAnsi="Times New Roman" w:eastAsia="楷体" w:cs="Times New Roman"/>
          <w:b/>
          <w:bCs/>
          <w:sz w:val="24"/>
        </w:rPr>
        <w:t>Table 2.</w:t>
      </w:r>
      <w:r>
        <w:rPr>
          <w:rFonts w:hint="default" w:ascii="Times New Roman" w:hAnsi="Times New Roman" w:eastAsia="楷体" w:cs="Times New Roman"/>
          <w:sz w:val="24"/>
        </w:rPr>
        <w:t xml:space="preserve"> Institutions with More Than 16 IAHS Publications from 2006 to 2023</w:t>
      </w:r>
    </w:p>
    <w:tbl>
      <w:tblPr>
        <w:tblStyle w:val="20"/>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42"/>
        <w:gridCol w:w="2166"/>
        <w:gridCol w:w="1704"/>
        <w:gridCol w:w="2651"/>
      </w:tblGrid>
      <w:tr w14:paraId="0DFA213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42" w:type="dxa"/>
            <w:tcBorders>
              <w:top w:val="single" w:color="auto" w:sz="4" w:space="0"/>
              <w:bottom w:val="single" w:color="auto" w:sz="4" w:space="0"/>
            </w:tcBorders>
            <w:vAlign w:val="center"/>
          </w:tcPr>
          <w:p w14:paraId="26574FA8">
            <w:pPr>
              <w:adjustRightInd w:val="0"/>
              <w:rPr>
                <w:rFonts w:hint="default" w:ascii="Times New Roman" w:hAnsi="Times New Roman" w:cs="Times New Roman"/>
                <w:b/>
                <w:bCs/>
              </w:rPr>
            </w:pPr>
            <w:r>
              <w:rPr>
                <w:rFonts w:hint="default" w:ascii="Times New Roman" w:hAnsi="Times New Roman" w:eastAsia="宋体" w:cs="Times New Roman"/>
                <w:b/>
                <w:bCs/>
                <w:sz w:val="24"/>
              </w:rPr>
              <w:t>Rank</w:t>
            </w:r>
          </w:p>
        </w:tc>
        <w:tc>
          <w:tcPr>
            <w:tcW w:w="2166" w:type="dxa"/>
            <w:tcBorders>
              <w:top w:val="single" w:color="auto" w:sz="4" w:space="0"/>
              <w:bottom w:val="single" w:color="auto" w:sz="4" w:space="0"/>
            </w:tcBorders>
            <w:vAlign w:val="center"/>
          </w:tcPr>
          <w:p w14:paraId="6DB66E76">
            <w:pPr>
              <w:adjustRightInd w:val="0"/>
              <w:rPr>
                <w:rFonts w:hint="default" w:ascii="Times New Roman" w:hAnsi="Times New Roman" w:eastAsia="宋体" w:cs="Times New Roman"/>
                <w:b/>
                <w:bCs/>
                <w:sz w:val="24"/>
              </w:rPr>
            </w:pPr>
            <w:r>
              <w:rPr>
                <w:rFonts w:hint="default" w:ascii="Times New Roman" w:hAnsi="Times New Roman" w:eastAsia="宋体" w:cs="Times New Roman"/>
                <w:b/>
                <w:bCs/>
                <w:sz w:val="24"/>
              </w:rPr>
              <w:t>Number Nodes</w:t>
            </w:r>
          </w:p>
        </w:tc>
        <w:tc>
          <w:tcPr>
            <w:tcW w:w="1704" w:type="dxa"/>
            <w:tcBorders>
              <w:top w:val="single" w:color="auto" w:sz="4" w:space="0"/>
              <w:bottom w:val="single" w:color="auto" w:sz="4" w:space="0"/>
            </w:tcBorders>
            <w:vAlign w:val="center"/>
          </w:tcPr>
          <w:p w14:paraId="3037E877">
            <w:pPr>
              <w:adjustRightInd w:val="0"/>
              <w:rPr>
                <w:rFonts w:hint="default" w:ascii="Times New Roman" w:hAnsi="Times New Roman" w:cs="Times New Roman"/>
              </w:rPr>
            </w:pPr>
            <w:r>
              <w:rPr>
                <w:rFonts w:hint="default" w:ascii="Times New Roman" w:hAnsi="Times New Roman" w:eastAsia="宋体" w:cs="Times New Roman"/>
                <w:b/>
                <w:bCs/>
                <w:sz w:val="24"/>
              </w:rPr>
              <w:t>Centrality</w:t>
            </w:r>
          </w:p>
        </w:tc>
        <w:tc>
          <w:tcPr>
            <w:tcW w:w="2651" w:type="dxa"/>
            <w:tcBorders>
              <w:top w:val="single" w:color="auto" w:sz="4" w:space="0"/>
              <w:bottom w:val="single" w:color="auto" w:sz="4" w:space="0"/>
            </w:tcBorders>
            <w:vAlign w:val="center"/>
          </w:tcPr>
          <w:p w14:paraId="4BA907F8">
            <w:pPr>
              <w:adjustRightInd w:val="0"/>
              <w:rPr>
                <w:rFonts w:hint="default" w:ascii="Times New Roman" w:hAnsi="Times New Roman" w:eastAsia="宋体" w:cs="Times New Roman"/>
                <w:b/>
                <w:bCs/>
                <w:sz w:val="24"/>
              </w:rPr>
            </w:pPr>
            <w:r>
              <w:rPr>
                <w:rFonts w:hint="default" w:ascii="Times New Roman" w:hAnsi="Times New Roman" w:eastAsia="宋体" w:cs="Times New Roman"/>
                <w:b/>
                <w:bCs/>
                <w:sz w:val="24"/>
              </w:rPr>
              <w:t>Institution</w:t>
            </w:r>
          </w:p>
        </w:tc>
      </w:tr>
      <w:tr w14:paraId="5A4D204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42" w:type="dxa"/>
            <w:tcBorders>
              <w:top w:val="single" w:color="auto" w:sz="4" w:space="0"/>
            </w:tcBorders>
            <w:vAlign w:val="center"/>
          </w:tcPr>
          <w:p w14:paraId="694D3819">
            <w:pPr>
              <w:adjustRightInd w:val="0"/>
              <w:rPr>
                <w:rFonts w:hint="default" w:ascii="Times New Roman" w:hAnsi="Times New Roman" w:cs="Times New Roman"/>
                <w:sz w:val="24"/>
              </w:rPr>
            </w:pPr>
            <w:r>
              <w:rPr>
                <w:rFonts w:hint="default" w:ascii="Times New Roman" w:hAnsi="Times New Roman" w:cs="Times New Roman"/>
                <w:sz w:val="24"/>
              </w:rPr>
              <w:t>1</w:t>
            </w:r>
          </w:p>
        </w:tc>
        <w:tc>
          <w:tcPr>
            <w:tcW w:w="2166" w:type="dxa"/>
            <w:tcBorders>
              <w:top w:val="single" w:color="auto" w:sz="4" w:space="0"/>
            </w:tcBorders>
            <w:vAlign w:val="center"/>
          </w:tcPr>
          <w:p w14:paraId="1F65235E">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200</w:t>
            </w:r>
          </w:p>
        </w:tc>
        <w:tc>
          <w:tcPr>
            <w:tcW w:w="1704" w:type="dxa"/>
            <w:tcBorders>
              <w:top w:val="single" w:color="auto" w:sz="4" w:space="0"/>
            </w:tcBorders>
            <w:vAlign w:val="center"/>
          </w:tcPr>
          <w:p w14:paraId="452483E9">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0.31</w:t>
            </w:r>
          </w:p>
        </w:tc>
        <w:tc>
          <w:tcPr>
            <w:tcW w:w="2651" w:type="dxa"/>
            <w:tcBorders>
              <w:top w:val="single" w:color="auto" w:sz="4" w:space="0"/>
            </w:tcBorders>
            <w:vAlign w:val="center"/>
          </w:tcPr>
          <w:p w14:paraId="2A096C9B">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McMaster Univ</w:t>
            </w:r>
          </w:p>
        </w:tc>
      </w:tr>
      <w:tr w14:paraId="5F659BF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42" w:type="dxa"/>
            <w:vAlign w:val="center"/>
          </w:tcPr>
          <w:p w14:paraId="744C5698">
            <w:pPr>
              <w:adjustRightInd w:val="0"/>
              <w:rPr>
                <w:rFonts w:hint="default" w:ascii="Times New Roman" w:hAnsi="Times New Roman" w:cs="Times New Roman"/>
                <w:sz w:val="24"/>
              </w:rPr>
            </w:pPr>
            <w:r>
              <w:rPr>
                <w:rFonts w:hint="default" w:ascii="Times New Roman" w:hAnsi="Times New Roman" w:cs="Times New Roman"/>
                <w:sz w:val="24"/>
              </w:rPr>
              <w:t>2</w:t>
            </w:r>
          </w:p>
        </w:tc>
        <w:tc>
          <w:tcPr>
            <w:tcW w:w="2166" w:type="dxa"/>
            <w:vAlign w:val="center"/>
          </w:tcPr>
          <w:p w14:paraId="49A1469A">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34</w:t>
            </w:r>
          </w:p>
        </w:tc>
        <w:tc>
          <w:tcPr>
            <w:tcW w:w="1704" w:type="dxa"/>
            <w:vAlign w:val="center"/>
          </w:tcPr>
          <w:p w14:paraId="5A111EDA">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0.06</w:t>
            </w:r>
          </w:p>
        </w:tc>
        <w:tc>
          <w:tcPr>
            <w:tcW w:w="2651" w:type="dxa"/>
            <w:vAlign w:val="center"/>
          </w:tcPr>
          <w:p w14:paraId="503E8434">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Chinese Acad Sci</w:t>
            </w:r>
          </w:p>
        </w:tc>
      </w:tr>
      <w:tr w14:paraId="63EB50E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42" w:type="dxa"/>
            <w:vAlign w:val="center"/>
          </w:tcPr>
          <w:p w14:paraId="52B127A7">
            <w:pPr>
              <w:adjustRightInd w:val="0"/>
              <w:rPr>
                <w:rFonts w:hint="default" w:ascii="Times New Roman" w:hAnsi="Times New Roman" w:cs="Times New Roman"/>
                <w:sz w:val="24"/>
              </w:rPr>
            </w:pPr>
            <w:r>
              <w:rPr>
                <w:rFonts w:hint="default" w:ascii="Times New Roman" w:hAnsi="Times New Roman" w:cs="Times New Roman"/>
                <w:sz w:val="24"/>
              </w:rPr>
              <w:t>3</w:t>
            </w:r>
          </w:p>
        </w:tc>
        <w:tc>
          <w:tcPr>
            <w:tcW w:w="2166" w:type="dxa"/>
            <w:vAlign w:val="center"/>
          </w:tcPr>
          <w:p w14:paraId="42C4F4AB">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21</w:t>
            </w:r>
          </w:p>
        </w:tc>
        <w:tc>
          <w:tcPr>
            <w:tcW w:w="1704" w:type="dxa"/>
            <w:vAlign w:val="center"/>
          </w:tcPr>
          <w:p w14:paraId="3E965EA4">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0.03</w:t>
            </w:r>
          </w:p>
        </w:tc>
        <w:tc>
          <w:tcPr>
            <w:tcW w:w="2651" w:type="dxa"/>
            <w:vAlign w:val="center"/>
          </w:tcPr>
          <w:p w14:paraId="051B1826">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Univ Twente</w:t>
            </w:r>
          </w:p>
        </w:tc>
      </w:tr>
      <w:tr w14:paraId="7C4DB93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42" w:type="dxa"/>
            <w:vAlign w:val="center"/>
          </w:tcPr>
          <w:p w14:paraId="3F7BF634">
            <w:pPr>
              <w:adjustRightInd w:val="0"/>
              <w:rPr>
                <w:rFonts w:hint="default" w:ascii="Times New Roman" w:hAnsi="Times New Roman" w:cs="Times New Roman"/>
                <w:sz w:val="24"/>
              </w:rPr>
            </w:pPr>
            <w:r>
              <w:rPr>
                <w:rFonts w:hint="default" w:ascii="Times New Roman" w:hAnsi="Times New Roman" w:cs="Times New Roman"/>
                <w:sz w:val="24"/>
              </w:rPr>
              <w:t>4</w:t>
            </w:r>
          </w:p>
        </w:tc>
        <w:tc>
          <w:tcPr>
            <w:tcW w:w="2166" w:type="dxa"/>
            <w:vAlign w:val="center"/>
          </w:tcPr>
          <w:p w14:paraId="1E2FD282">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20</w:t>
            </w:r>
          </w:p>
        </w:tc>
        <w:tc>
          <w:tcPr>
            <w:tcW w:w="1704" w:type="dxa"/>
            <w:vAlign w:val="center"/>
          </w:tcPr>
          <w:p w14:paraId="2DBDEC2E">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0.13</w:t>
            </w:r>
          </w:p>
        </w:tc>
        <w:tc>
          <w:tcPr>
            <w:tcW w:w="2651" w:type="dxa"/>
            <w:vAlign w:val="center"/>
          </w:tcPr>
          <w:p w14:paraId="18049701">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Univ Toronto</w:t>
            </w:r>
          </w:p>
        </w:tc>
      </w:tr>
      <w:tr w14:paraId="5EC4CF1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42" w:type="dxa"/>
            <w:vAlign w:val="center"/>
          </w:tcPr>
          <w:p w14:paraId="791341EB">
            <w:pPr>
              <w:adjustRightInd w:val="0"/>
              <w:rPr>
                <w:rFonts w:hint="default" w:ascii="Times New Roman" w:hAnsi="Times New Roman" w:cs="Times New Roman"/>
                <w:sz w:val="24"/>
              </w:rPr>
            </w:pPr>
            <w:r>
              <w:rPr>
                <w:rFonts w:hint="default" w:ascii="Times New Roman" w:hAnsi="Times New Roman" w:cs="Times New Roman"/>
                <w:sz w:val="24"/>
              </w:rPr>
              <w:t>5</w:t>
            </w:r>
          </w:p>
        </w:tc>
        <w:tc>
          <w:tcPr>
            <w:tcW w:w="2166" w:type="dxa"/>
            <w:vAlign w:val="center"/>
          </w:tcPr>
          <w:p w14:paraId="150D0827">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18</w:t>
            </w:r>
          </w:p>
        </w:tc>
        <w:tc>
          <w:tcPr>
            <w:tcW w:w="1704" w:type="dxa"/>
            <w:vAlign w:val="center"/>
          </w:tcPr>
          <w:p w14:paraId="468922F2">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0.13</w:t>
            </w:r>
          </w:p>
        </w:tc>
        <w:tc>
          <w:tcPr>
            <w:tcW w:w="2651" w:type="dxa"/>
            <w:vAlign w:val="center"/>
          </w:tcPr>
          <w:p w14:paraId="0FC1DB76">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Delft Univ Technol</w:t>
            </w:r>
          </w:p>
        </w:tc>
      </w:tr>
      <w:tr w14:paraId="6B6C129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42" w:type="dxa"/>
            <w:vAlign w:val="center"/>
          </w:tcPr>
          <w:p w14:paraId="318D7DFD">
            <w:pPr>
              <w:adjustRightInd w:val="0"/>
              <w:rPr>
                <w:rFonts w:hint="default" w:ascii="Times New Roman" w:hAnsi="Times New Roman" w:cs="Times New Roman"/>
                <w:sz w:val="24"/>
              </w:rPr>
            </w:pPr>
            <w:r>
              <w:rPr>
                <w:rFonts w:hint="default" w:ascii="Times New Roman" w:hAnsi="Times New Roman" w:cs="Times New Roman"/>
                <w:sz w:val="24"/>
              </w:rPr>
              <w:t>6</w:t>
            </w:r>
          </w:p>
        </w:tc>
        <w:tc>
          <w:tcPr>
            <w:tcW w:w="2166" w:type="dxa"/>
            <w:vAlign w:val="center"/>
          </w:tcPr>
          <w:p w14:paraId="6EA2B8D0">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17</w:t>
            </w:r>
          </w:p>
        </w:tc>
        <w:tc>
          <w:tcPr>
            <w:tcW w:w="1704" w:type="dxa"/>
            <w:vAlign w:val="center"/>
          </w:tcPr>
          <w:p w14:paraId="7FD4FA94">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0.01</w:t>
            </w:r>
          </w:p>
        </w:tc>
        <w:tc>
          <w:tcPr>
            <w:tcW w:w="2651" w:type="dxa"/>
            <w:vAlign w:val="center"/>
          </w:tcPr>
          <w:p w14:paraId="41B0FB53">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Univ Chinese Acad Sci</w:t>
            </w:r>
          </w:p>
        </w:tc>
      </w:tr>
      <w:tr w14:paraId="70745EC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42" w:type="dxa"/>
            <w:vAlign w:val="center"/>
          </w:tcPr>
          <w:p w14:paraId="6DA78F61">
            <w:pPr>
              <w:adjustRightInd w:val="0"/>
              <w:rPr>
                <w:rFonts w:hint="default" w:ascii="Times New Roman" w:hAnsi="Times New Roman" w:cs="Times New Roman"/>
                <w:sz w:val="24"/>
              </w:rPr>
            </w:pPr>
            <w:r>
              <w:rPr>
                <w:rFonts w:hint="default" w:ascii="Times New Roman" w:hAnsi="Times New Roman" w:cs="Times New Roman"/>
                <w:sz w:val="24"/>
              </w:rPr>
              <w:t>7</w:t>
            </w:r>
          </w:p>
        </w:tc>
        <w:tc>
          <w:tcPr>
            <w:tcW w:w="2166" w:type="dxa"/>
            <w:vAlign w:val="center"/>
          </w:tcPr>
          <w:p w14:paraId="7572ECF5">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16</w:t>
            </w:r>
          </w:p>
        </w:tc>
        <w:tc>
          <w:tcPr>
            <w:tcW w:w="1704" w:type="dxa"/>
            <w:vAlign w:val="center"/>
          </w:tcPr>
          <w:p w14:paraId="6733D9F3">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w:t>
            </w:r>
          </w:p>
        </w:tc>
        <w:tc>
          <w:tcPr>
            <w:tcW w:w="2651" w:type="dxa"/>
            <w:vAlign w:val="center"/>
          </w:tcPr>
          <w:p w14:paraId="0044D836">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Univ Florence</w:t>
            </w:r>
          </w:p>
        </w:tc>
      </w:tr>
      <w:tr w14:paraId="7DADBBD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42" w:type="dxa"/>
            <w:vAlign w:val="center"/>
          </w:tcPr>
          <w:p w14:paraId="6DE5AA75">
            <w:pPr>
              <w:adjustRightInd w:val="0"/>
              <w:rPr>
                <w:rFonts w:hint="default" w:ascii="Times New Roman" w:hAnsi="Times New Roman" w:cs="Times New Roman"/>
                <w:sz w:val="24"/>
              </w:rPr>
            </w:pPr>
            <w:r>
              <w:rPr>
                <w:rFonts w:hint="default" w:ascii="Times New Roman" w:hAnsi="Times New Roman" w:cs="Times New Roman"/>
                <w:sz w:val="24"/>
              </w:rPr>
              <w:t>8</w:t>
            </w:r>
          </w:p>
        </w:tc>
        <w:tc>
          <w:tcPr>
            <w:tcW w:w="2166" w:type="dxa"/>
            <w:vAlign w:val="center"/>
          </w:tcPr>
          <w:p w14:paraId="5486FF26">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16</w:t>
            </w:r>
          </w:p>
        </w:tc>
        <w:tc>
          <w:tcPr>
            <w:tcW w:w="1704" w:type="dxa"/>
            <w:vAlign w:val="center"/>
          </w:tcPr>
          <w:p w14:paraId="2D1F9D65">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0.04</w:t>
            </w:r>
          </w:p>
        </w:tc>
        <w:tc>
          <w:tcPr>
            <w:tcW w:w="2651" w:type="dxa"/>
            <w:vAlign w:val="center"/>
          </w:tcPr>
          <w:p w14:paraId="065EAC16">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Vienna Univ Technol</w:t>
            </w:r>
          </w:p>
        </w:tc>
      </w:tr>
      <w:tr w14:paraId="0276E87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42" w:type="dxa"/>
            <w:vAlign w:val="center"/>
          </w:tcPr>
          <w:p w14:paraId="5D6A2AEA">
            <w:pPr>
              <w:adjustRightInd w:val="0"/>
              <w:rPr>
                <w:rFonts w:hint="default" w:ascii="Times New Roman" w:hAnsi="Times New Roman" w:cs="Times New Roman"/>
                <w:sz w:val="24"/>
              </w:rPr>
            </w:pPr>
            <w:r>
              <w:rPr>
                <w:rFonts w:hint="default" w:ascii="Times New Roman" w:hAnsi="Times New Roman" w:cs="Times New Roman"/>
                <w:sz w:val="24"/>
              </w:rPr>
              <w:t>9</w:t>
            </w:r>
          </w:p>
        </w:tc>
        <w:tc>
          <w:tcPr>
            <w:tcW w:w="2166" w:type="dxa"/>
            <w:vAlign w:val="center"/>
          </w:tcPr>
          <w:p w14:paraId="429391B9">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16</w:t>
            </w:r>
          </w:p>
        </w:tc>
        <w:tc>
          <w:tcPr>
            <w:tcW w:w="1704" w:type="dxa"/>
            <w:vAlign w:val="center"/>
          </w:tcPr>
          <w:p w14:paraId="44D38372">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0.05</w:t>
            </w:r>
          </w:p>
        </w:tc>
        <w:tc>
          <w:tcPr>
            <w:tcW w:w="2651" w:type="dxa"/>
            <w:vAlign w:val="center"/>
          </w:tcPr>
          <w:p w14:paraId="2AB0E2F9">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Univ Western Ontario</w:t>
            </w:r>
          </w:p>
        </w:tc>
      </w:tr>
      <w:tr w14:paraId="18CEEE2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42" w:type="dxa"/>
            <w:vAlign w:val="center"/>
          </w:tcPr>
          <w:p w14:paraId="3147E61B">
            <w:pPr>
              <w:adjustRightInd w:val="0"/>
              <w:rPr>
                <w:rFonts w:hint="default" w:ascii="Times New Roman" w:hAnsi="Times New Roman" w:cs="Times New Roman"/>
                <w:sz w:val="24"/>
              </w:rPr>
            </w:pPr>
            <w:r>
              <w:rPr>
                <w:rFonts w:hint="default" w:ascii="Times New Roman" w:hAnsi="Times New Roman" w:cs="Times New Roman"/>
                <w:sz w:val="24"/>
              </w:rPr>
              <w:t>10</w:t>
            </w:r>
          </w:p>
        </w:tc>
        <w:tc>
          <w:tcPr>
            <w:tcW w:w="2166" w:type="dxa"/>
            <w:vAlign w:val="center"/>
          </w:tcPr>
          <w:p w14:paraId="68F3FED6">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16</w:t>
            </w:r>
          </w:p>
        </w:tc>
        <w:tc>
          <w:tcPr>
            <w:tcW w:w="1704" w:type="dxa"/>
            <w:vAlign w:val="center"/>
          </w:tcPr>
          <w:p w14:paraId="0C8CFFE4">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0.05</w:t>
            </w:r>
          </w:p>
        </w:tc>
        <w:tc>
          <w:tcPr>
            <w:tcW w:w="2651" w:type="dxa"/>
            <w:vAlign w:val="center"/>
          </w:tcPr>
          <w:p w14:paraId="6C724253">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Univ Bologna</w:t>
            </w:r>
          </w:p>
        </w:tc>
      </w:tr>
    </w:tbl>
    <w:p w14:paraId="631C50DC">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From 2006 to 2023, a total of 394 major research institutions were involved in IAHS research. Among them, 11 institutions published more than 16 papers, accounting for 2.79% of the total publications. The institution with the highest number of publications is McMaster University, contributing 37.24% of the total. It is followed by the Chinese Academy of Sciences, University of Twente, University of Toronto, and Delft University of Technology. McMaster University has the highest centrality in the IAHS research field, with a centrality value of 0.31, indicating its significant influence within the field. The Chinese Academy of Sciences and University of Twente have also published a substantial number of papers (Table 2).</w:t>
      </w:r>
    </w:p>
    <w:p w14:paraId="20F08F99">
      <w:pPr>
        <w:pStyle w:val="30"/>
        <w:numPr>
          <w:ilvl w:val="0"/>
          <w:numId w:val="4"/>
        </w:numPr>
        <w:tabs>
          <w:tab w:val="left" w:pos="1974"/>
        </w:tabs>
        <w:spacing w:before="40" w:after="120"/>
        <w:ind w:left="361" w:leftChars="0" w:hanging="361" w:firstLineChars="0"/>
        <w:jc w:val="left"/>
        <w:outlineLvl w:val="2"/>
        <w:rPr>
          <w:rFonts w:hint="default" w:ascii="Times New Roman" w:hAnsi="Times New Roman" w:eastAsia="宋体" w:cs="Times New Roman"/>
          <w:b/>
          <w:bCs/>
          <w:sz w:val="24"/>
        </w:rPr>
      </w:pPr>
      <w:r>
        <w:rPr>
          <w:rFonts w:hint="default" w:ascii="Times New Roman" w:hAnsi="Times New Roman" w:eastAsia="宋体" w:cs="Times New Roman"/>
          <w:b/>
          <w:bCs/>
          <w:sz w:val="24"/>
        </w:rPr>
        <w:t>Analysis of Author Collaboration Groups</w:t>
      </w:r>
    </w:p>
    <w:p w14:paraId="686CC685">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By statistically analyzing the distribution of authors in the IAHS field, we can gain insights into their contributions and publication activity, offering a micro</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 xml:space="preserve">level perspective on scholar engagement in the field. This analysis serves as a useful reference for evaluating scholars within the IAHS community and identifying key works for further reading. In this study, we utilized the "author" option in the node type column of CiteSpace 6.2.R6, setting the time frame from 2006 to 2023 and selecting the "Go Cluster" function. The resulting author collaboration map is shown in </w:t>
      </w:r>
      <w:r>
        <w:rPr>
          <w:rFonts w:hint="default" w:ascii="Times New Roman" w:hAnsi="Times New Roman" w:eastAsia="楷体" w:cs="Times New Roman"/>
          <w:sz w:val="24"/>
          <w:lang w:eastAsia="zh-CN"/>
        </w:rPr>
        <w:t>Figure.</w:t>
      </w:r>
      <w:r>
        <w:rPr>
          <w:rFonts w:hint="default" w:ascii="Times New Roman" w:hAnsi="Times New Roman" w:eastAsia="楷体" w:cs="Times New Roman"/>
          <w:sz w:val="24"/>
        </w:rPr>
        <w:t xml:space="preserve"> 4 and Table 3.</w:t>
      </w:r>
    </w:p>
    <w:p w14:paraId="220AD097">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In the map, the size of the nodes represents the quantity of collaborations, with larger nodes indicating authors who have published more papers in the given year. The connections between nodes illustrate the collaborative relationships between different authors, with thicker lines signifying stronger collaborative ties. This visualization helps to reveal the central figures in IAHS research and their network of cooperation, offering valuable insights into the collaborative dynamics within the field.</w:t>
      </w:r>
    </w:p>
    <w:p w14:paraId="44EB5040">
      <w:pPr>
        <w:tabs>
          <w:tab w:val="left" w:pos="1974"/>
        </w:tabs>
        <w:adjustRightInd w:val="0"/>
        <w:jc w:val="center"/>
        <w:rPr>
          <w:rFonts w:hint="default" w:ascii="Times New Roman" w:hAnsi="Times New Roman" w:eastAsia="楷体" w:cs="Times New Roman"/>
          <w:sz w:val="24"/>
        </w:rPr>
      </w:pPr>
      <w:r>
        <w:rPr>
          <w:rFonts w:hint="default" w:ascii="Times New Roman" w:hAnsi="Times New Roman" w:cs="Times New Roman"/>
        </w:rPr>
        <w:drawing>
          <wp:inline distT="0" distB="0" distL="0" distR="0">
            <wp:extent cx="5274310" cy="3082925"/>
            <wp:effectExtent l="0" t="0" r="2540" b="3175"/>
            <wp:docPr id="8" name="图片 1" descr="DIMTVV0O{9COGE(HDFK]Q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IMTVV0O{9COGE(HDFK]Q6Q"/>
                    <pic:cNvPicPr>
                      <a:picLocks noChangeAspect="1"/>
                    </pic:cNvPicPr>
                  </pic:nvPicPr>
                  <pic:blipFill>
                    <a:blip r:embed="rId12"/>
                    <a:stretch>
                      <a:fillRect/>
                    </a:stretch>
                  </pic:blipFill>
                  <pic:spPr>
                    <a:xfrm>
                      <a:off x="0" y="0"/>
                      <a:ext cx="5274310" cy="3082925"/>
                    </a:xfrm>
                    <a:prstGeom prst="rect">
                      <a:avLst/>
                    </a:prstGeom>
                  </pic:spPr>
                </pic:pic>
              </a:graphicData>
            </a:graphic>
          </wp:inline>
        </w:drawing>
      </w:r>
    </w:p>
    <w:p w14:paraId="63CB6859">
      <w:pPr>
        <w:tabs>
          <w:tab w:val="left" w:pos="1974"/>
        </w:tabs>
        <w:adjustRightInd w:val="0"/>
        <w:spacing w:after="60"/>
        <w:jc w:val="center"/>
        <w:rPr>
          <w:rFonts w:hint="default" w:ascii="Times New Roman" w:hAnsi="Times New Roman" w:eastAsia="楷体" w:cs="Times New Roman"/>
          <w:sz w:val="24"/>
        </w:rPr>
      </w:pPr>
      <w:r>
        <w:rPr>
          <w:rFonts w:hint="default" w:ascii="Times New Roman" w:hAnsi="Times New Roman" w:cs="Times New Roman"/>
          <w:b/>
          <w:bCs/>
          <w:color w:val="000000"/>
        </w:rPr>
        <w:t>Figure</w:t>
      </w:r>
      <w:r>
        <w:rPr>
          <w:rFonts w:hint="default" w:ascii="Times New Roman" w:hAnsi="Times New Roman" w:eastAsia="楷体" w:cs="Times New Roman"/>
          <w:b/>
          <w:bCs/>
          <w:sz w:val="24"/>
        </w:rPr>
        <w:t xml:space="preserve"> 4:</w:t>
      </w:r>
      <w:r>
        <w:rPr>
          <w:rFonts w:hint="default" w:ascii="Times New Roman" w:hAnsi="Times New Roman" w:eastAsia="楷体" w:cs="Times New Roman"/>
          <w:sz w:val="24"/>
        </w:rPr>
        <w:t xml:space="preserve"> Collaboration Network of High</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Productivity Authors in International IAHS Research from 2006 to 2023</w:t>
      </w:r>
    </w:p>
    <w:p w14:paraId="1CA0E38C">
      <w:pPr>
        <w:tabs>
          <w:tab w:val="left" w:pos="1974"/>
        </w:tabs>
        <w:adjustRightInd w:val="0"/>
        <w:ind w:firstLine="241" w:firstLineChars="100"/>
        <w:jc w:val="center"/>
        <w:rPr>
          <w:rFonts w:hint="default" w:ascii="Times New Roman" w:hAnsi="Times New Roman" w:eastAsia="楷体" w:cs="Times New Roman"/>
          <w:sz w:val="24"/>
        </w:rPr>
      </w:pPr>
      <w:r>
        <w:rPr>
          <w:rFonts w:hint="default" w:ascii="Times New Roman" w:hAnsi="Times New Roman" w:eastAsia="楷体" w:cs="Times New Roman"/>
          <w:b/>
          <w:bCs/>
          <w:sz w:val="24"/>
        </w:rPr>
        <w:t>Table 3.</w:t>
      </w:r>
      <w:r>
        <w:rPr>
          <w:rFonts w:hint="default" w:ascii="Times New Roman" w:hAnsi="Times New Roman" w:eastAsia="楷体" w:cs="Times New Roman"/>
          <w:sz w:val="24"/>
        </w:rPr>
        <w:t xml:space="preserve"> Scholars with More Than 9 Publications on IAHS Research from 2006 to 2023</w:t>
      </w:r>
    </w:p>
    <w:tbl>
      <w:tblPr>
        <w:tblStyle w:val="20"/>
        <w:tblW w:w="9673"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68"/>
        <w:gridCol w:w="2095"/>
        <w:gridCol w:w="1608"/>
        <w:gridCol w:w="3376"/>
        <w:gridCol w:w="1626"/>
      </w:tblGrid>
      <w:tr w14:paraId="0DF1645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8" w:type="dxa"/>
            <w:tcBorders>
              <w:top w:val="single" w:color="auto" w:sz="4" w:space="0"/>
              <w:bottom w:val="single" w:color="auto" w:sz="4" w:space="0"/>
            </w:tcBorders>
            <w:vAlign w:val="center"/>
          </w:tcPr>
          <w:p w14:paraId="1B6C1A42">
            <w:pPr>
              <w:adjustRightInd w:val="0"/>
              <w:rPr>
                <w:rFonts w:hint="default" w:ascii="Times New Roman" w:hAnsi="Times New Roman" w:cs="Times New Roman"/>
                <w:b/>
                <w:bCs/>
              </w:rPr>
            </w:pPr>
            <w:r>
              <w:rPr>
                <w:rFonts w:hint="default" w:ascii="Times New Roman" w:hAnsi="Times New Roman" w:eastAsia="宋体" w:cs="Times New Roman"/>
                <w:b/>
                <w:bCs/>
                <w:sz w:val="24"/>
              </w:rPr>
              <w:t>Rank</w:t>
            </w:r>
          </w:p>
        </w:tc>
        <w:tc>
          <w:tcPr>
            <w:tcW w:w="2095" w:type="dxa"/>
            <w:tcBorders>
              <w:top w:val="single" w:color="auto" w:sz="4" w:space="0"/>
              <w:bottom w:val="single" w:color="auto" w:sz="4" w:space="0"/>
            </w:tcBorders>
            <w:vAlign w:val="center"/>
          </w:tcPr>
          <w:p w14:paraId="6B17C653">
            <w:pPr>
              <w:adjustRightInd w:val="0"/>
              <w:rPr>
                <w:rFonts w:hint="default" w:ascii="Times New Roman" w:hAnsi="Times New Roman" w:cs="Times New Roman"/>
              </w:rPr>
            </w:pPr>
            <w:r>
              <w:rPr>
                <w:rFonts w:hint="default" w:ascii="Times New Roman" w:hAnsi="Times New Roman" w:eastAsia="宋体" w:cs="Times New Roman"/>
                <w:b/>
                <w:bCs/>
                <w:sz w:val="24"/>
              </w:rPr>
              <w:t>Number of Nodes</w:t>
            </w:r>
          </w:p>
        </w:tc>
        <w:tc>
          <w:tcPr>
            <w:tcW w:w="1608" w:type="dxa"/>
            <w:tcBorders>
              <w:top w:val="single" w:color="auto" w:sz="4" w:space="0"/>
              <w:bottom w:val="single" w:color="auto" w:sz="4" w:space="0"/>
            </w:tcBorders>
            <w:vAlign w:val="center"/>
          </w:tcPr>
          <w:p w14:paraId="76FD9B8C">
            <w:pPr>
              <w:adjustRightInd w:val="0"/>
              <w:rPr>
                <w:rFonts w:hint="default" w:ascii="Times New Roman" w:hAnsi="Times New Roman" w:cs="Times New Roman"/>
              </w:rPr>
            </w:pPr>
            <w:r>
              <w:rPr>
                <w:rFonts w:hint="default" w:ascii="Times New Roman" w:hAnsi="Times New Roman" w:eastAsia="宋体" w:cs="Times New Roman"/>
                <w:b/>
                <w:bCs/>
                <w:sz w:val="24"/>
              </w:rPr>
              <w:t>Centrality</w:t>
            </w:r>
          </w:p>
        </w:tc>
        <w:tc>
          <w:tcPr>
            <w:tcW w:w="3376" w:type="dxa"/>
            <w:tcBorders>
              <w:top w:val="single" w:color="auto" w:sz="4" w:space="0"/>
              <w:bottom w:val="single" w:color="auto" w:sz="4" w:space="0"/>
            </w:tcBorders>
            <w:vAlign w:val="center"/>
          </w:tcPr>
          <w:p w14:paraId="50E58EF0">
            <w:pPr>
              <w:adjustRightInd w:val="0"/>
              <w:rPr>
                <w:rFonts w:hint="default" w:ascii="Times New Roman" w:hAnsi="Times New Roman" w:cs="Times New Roman"/>
              </w:rPr>
            </w:pPr>
            <w:r>
              <w:rPr>
                <w:rFonts w:hint="default" w:ascii="Times New Roman" w:hAnsi="Times New Roman" w:eastAsia="宋体" w:cs="Times New Roman"/>
                <w:b/>
                <w:bCs/>
                <w:sz w:val="24"/>
              </w:rPr>
              <w:t>Author</w:t>
            </w:r>
          </w:p>
        </w:tc>
        <w:tc>
          <w:tcPr>
            <w:tcW w:w="1626" w:type="dxa"/>
            <w:tcBorders>
              <w:top w:val="single" w:color="auto" w:sz="4" w:space="0"/>
              <w:bottom w:val="single" w:color="auto" w:sz="4" w:space="0"/>
            </w:tcBorders>
            <w:vAlign w:val="center"/>
          </w:tcPr>
          <w:p w14:paraId="079F02DA">
            <w:pPr>
              <w:adjustRightInd w:val="0"/>
              <w:rPr>
                <w:rFonts w:hint="default" w:ascii="Times New Roman" w:hAnsi="Times New Roman" w:cs="Times New Roman"/>
              </w:rPr>
            </w:pPr>
            <w:r>
              <w:rPr>
                <w:rFonts w:hint="default" w:ascii="Times New Roman" w:hAnsi="Times New Roman" w:eastAsia="宋体" w:cs="Times New Roman"/>
                <w:b/>
                <w:bCs/>
                <w:sz w:val="24"/>
              </w:rPr>
              <w:t>Percentage</w:t>
            </w:r>
          </w:p>
        </w:tc>
      </w:tr>
      <w:tr w14:paraId="362BD19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8" w:type="dxa"/>
            <w:tcBorders>
              <w:top w:val="single" w:color="auto" w:sz="4" w:space="0"/>
            </w:tcBorders>
            <w:vAlign w:val="center"/>
          </w:tcPr>
          <w:p w14:paraId="662DDD86">
            <w:pPr>
              <w:adjustRightInd w:val="0"/>
              <w:rPr>
                <w:rFonts w:hint="default" w:ascii="Times New Roman" w:hAnsi="Times New Roman" w:cs="Times New Roman"/>
                <w:sz w:val="24"/>
              </w:rPr>
            </w:pPr>
            <w:r>
              <w:rPr>
                <w:rFonts w:hint="default" w:ascii="Times New Roman" w:hAnsi="Times New Roman" w:cs="Times New Roman"/>
                <w:sz w:val="24"/>
              </w:rPr>
              <w:t>1</w:t>
            </w:r>
          </w:p>
        </w:tc>
        <w:tc>
          <w:tcPr>
            <w:tcW w:w="2095" w:type="dxa"/>
            <w:tcBorders>
              <w:top w:val="single" w:color="auto" w:sz="4" w:space="0"/>
            </w:tcBorders>
            <w:vAlign w:val="center"/>
          </w:tcPr>
          <w:p w14:paraId="0F9A0655">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22</w:t>
            </w:r>
          </w:p>
        </w:tc>
        <w:tc>
          <w:tcPr>
            <w:tcW w:w="1608" w:type="dxa"/>
            <w:tcBorders>
              <w:top w:val="single" w:color="auto" w:sz="4" w:space="0"/>
            </w:tcBorders>
            <w:vAlign w:val="center"/>
          </w:tcPr>
          <w:p w14:paraId="5019AAB3">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w:t>
            </w:r>
          </w:p>
        </w:tc>
        <w:tc>
          <w:tcPr>
            <w:tcW w:w="3376" w:type="dxa"/>
            <w:tcBorders>
              <w:top w:val="single" w:color="auto" w:sz="4" w:space="0"/>
            </w:tcBorders>
            <w:vAlign w:val="center"/>
          </w:tcPr>
          <w:p w14:paraId="24EDAD1F">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QINGWEN MIN</w:t>
            </w:r>
          </w:p>
        </w:tc>
        <w:tc>
          <w:tcPr>
            <w:tcW w:w="1626" w:type="dxa"/>
            <w:tcBorders>
              <w:top w:val="single" w:color="auto" w:sz="4" w:space="0"/>
            </w:tcBorders>
            <w:vAlign w:val="center"/>
          </w:tcPr>
          <w:p w14:paraId="2F177BDF">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 xml:space="preserve">0.17 </w:t>
            </w:r>
          </w:p>
        </w:tc>
      </w:tr>
      <w:tr w14:paraId="520F37D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8" w:type="dxa"/>
            <w:vAlign w:val="center"/>
          </w:tcPr>
          <w:p w14:paraId="5C8FF8D0">
            <w:pPr>
              <w:adjustRightInd w:val="0"/>
              <w:rPr>
                <w:rFonts w:hint="default" w:ascii="Times New Roman" w:hAnsi="Times New Roman" w:cs="Times New Roman"/>
                <w:sz w:val="24"/>
              </w:rPr>
            </w:pPr>
            <w:r>
              <w:rPr>
                <w:rFonts w:hint="default" w:ascii="Times New Roman" w:hAnsi="Times New Roman" w:cs="Times New Roman"/>
                <w:sz w:val="24"/>
              </w:rPr>
              <w:t>2</w:t>
            </w:r>
          </w:p>
        </w:tc>
        <w:tc>
          <w:tcPr>
            <w:tcW w:w="2095" w:type="dxa"/>
            <w:vAlign w:val="center"/>
          </w:tcPr>
          <w:p w14:paraId="7B41B943">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19</w:t>
            </w:r>
          </w:p>
        </w:tc>
        <w:tc>
          <w:tcPr>
            <w:tcW w:w="1608" w:type="dxa"/>
            <w:vAlign w:val="center"/>
          </w:tcPr>
          <w:p w14:paraId="1A3EF553">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0.04</w:t>
            </w:r>
          </w:p>
        </w:tc>
        <w:tc>
          <w:tcPr>
            <w:tcW w:w="3376" w:type="dxa"/>
            <w:vAlign w:val="center"/>
          </w:tcPr>
          <w:p w14:paraId="2E012C49">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JOY  C  MACDERMID</w:t>
            </w:r>
          </w:p>
        </w:tc>
        <w:tc>
          <w:tcPr>
            <w:tcW w:w="1626" w:type="dxa"/>
            <w:vAlign w:val="center"/>
          </w:tcPr>
          <w:p w14:paraId="03F702B3">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 xml:space="preserve">0.15 </w:t>
            </w:r>
          </w:p>
        </w:tc>
      </w:tr>
      <w:tr w14:paraId="70105A7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jc w:val="center"/>
        </w:trPr>
        <w:tc>
          <w:tcPr>
            <w:tcW w:w="968" w:type="dxa"/>
            <w:vAlign w:val="center"/>
          </w:tcPr>
          <w:p w14:paraId="3C572D6C">
            <w:pPr>
              <w:adjustRightInd w:val="0"/>
              <w:rPr>
                <w:rFonts w:hint="default" w:ascii="Times New Roman" w:hAnsi="Times New Roman" w:cs="Times New Roman"/>
                <w:sz w:val="24"/>
              </w:rPr>
            </w:pPr>
            <w:r>
              <w:rPr>
                <w:rFonts w:hint="default" w:ascii="Times New Roman" w:hAnsi="Times New Roman" w:cs="Times New Roman"/>
                <w:sz w:val="24"/>
              </w:rPr>
              <w:t>3</w:t>
            </w:r>
          </w:p>
        </w:tc>
        <w:tc>
          <w:tcPr>
            <w:tcW w:w="2095" w:type="dxa"/>
            <w:vAlign w:val="center"/>
          </w:tcPr>
          <w:p w14:paraId="421691A4">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17</w:t>
            </w:r>
          </w:p>
        </w:tc>
        <w:tc>
          <w:tcPr>
            <w:tcW w:w="1608" w:type="dxa"/>
            <w:vAlign w:val="center"/>
          </w:tcPr>
          <w:p w14:paraId="469B2552">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w:t>
            </w:r>
          </w:p>
        </w:tc>
        <w:tc>
          <w:tcPr>
            <w:tcW w:w="3376" w:type="dxa"/>
            <w:vAlign w:val="center"/>
          </w:tcPr>
          <w:p w14:paraId="3C1ADAFE">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ARJEN  Y  HOEKSTRA</w:t>
            </w:r>
          </w:p>
        </w:tc>
        <w:tc>
          <w:tcPr>
            <w:tcW w:w="1626" w:type="dxa"/>
            <w:vAlign w:val="center"/>
          </w:tcPr>
          <w:p w14:paraId="675A2193">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 xml:space="preserve">0.13 </w:t>
            </w:r>
          </w:p>
        </w:tc>
      </w:tr>
      <w:tr w14:paraId="13C8397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8" w:type="dxa"/>
            <w:vAlign w:val="center"/>
          </w:tcPr>
          <w:p w14:paraId="5D3DF015">
            <w:pPr>
              <w:adjustRightInd w:val="0"/>
              <w:rPr>
                <w:rFonts w:hint="default" w:ascii="Times New Roman" w:hAnsi="Times New Roman" w:cs="Times New Roman"/>
                <w:sz w:val="24"/>
              </w:rPr>
            </w:pPr>
            <w:r>
              <w:rPr>
                <w:rFonts w:hint="default" w:ascii="Times New Roman" w:hAnsi="Times New Roman" w:cs="Times New Roman"/>
                <w:sz w:val="24"/>
              </w:rPr>
              <w:t>4</w:t>
            </w:r>
          </w:p>
        </w:tc>
        <w:tc>
          <w:tcPr>
            <w:tcW w:w="2095" w:type="dxa"/>
            <w:vAlign w:val="center"/>
          </w:tcPr>
          <w:p w14:paraId="6C8EE83A">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13</w:t>
            </w:r>
          </w:p>
        </w:tc>
        <w:tc>
          <w:tcPr>
            <w:tcW w:w="1608" w:type="dxa"/>
            <w:vAlign w:val="center"/>
          </w:tcPr>
          <w:p w14:paraId="75273FF9">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0.02</w:t>
            </w:r>
          </w:p>
        </w:tc>
        <w:tc>
          <w:tcPr>
            <w:tcW w:w="3376" w:type="dxa"/>
            <w:vAlign w:val="center"/>
          </w:tcPr>
          <w:p w14:paraId="23DF8F66">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MARY  LAW</w:t>
            </w:r>
          </w:p>
        </w:tc>
        <w:tc>
          <w:tcPr>
            <w:tcW w:w="1626" w:type="dxa"/>
            <w:vAlign w:val="center"/>
          </w:tcPr>
          <w:p w14:paraId="51B710B1">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 xml:space="preserve">0.10 </w:t>
            </w:r>
          </w:p>
        </w:tc>
      </w:tr>
      <w:tr w14:paraId="6F2F005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8" w:type="dxa"/>
            <w:vAlign w:val="center"/>
          </w:tcPr>
          <w:p w14:paraId="64F50819">
            <w:pPr>
              <w:adjustRightInd w:val="0"/>
              <w:rPr>
                <w:rFonts w:hint="default" w:ascii="Times New Roman" w:hAnsi="Times New Roman" w:cs="Times New Roman"/>
                <w:sz w:val="24"/>
              </w:rPr>
            </w:pPr>
            <w:r>
              <w:rPr>
                <w:rFonts w:hint="default" w:ascii="Times New Roman" w:hAnsi="Times New Roman" w:cs="Times New Roman"/>
                <w:sz w:val="24"/>
              </w:rPr>
              <w:t>5</w:t>
            </w:r>
          </w:p>
        </w:tc>
        <w:tc>
          <w:tcPr>
            <w:tcW w:w="2095" w:type="dxa"/>
            <w:vAlign w:val="center"/>
          </w:tcPr>
          <w:p w14:paraId="4FA7B392">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11</w:t>
            </w:r>
          </w:p>
        </w:tc>
        <w:tc>
          <w:tcPr>
            <w:tcW w:w="1608" w:type="dxa"/>
            <w:vAlign w:val="center"/>
          </w:tcPr>
          <w:p w14:paraId="4996C37B">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w:t>
            </w:r>
          </w:p>
        </w:tc>
        <w:tc>
          <w:tcPr>
            <w:tcW w:w="3376" w:type="dxa"/>
            <w:vAlign w:val="center"/>
          </w:tcPr>
          <w:p w14:paraId="57B65011">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ANTONIO  SANTORO</w:t>
            </w:r>
          </w:p>
        </w:tc>
        <w:tc>
          <w:tcPr>
            <w:tcW w:w="1626" w:type="dxa"/>
            <w:vAlign w:val="center"/>
          </w:tcPr>
          <w:p w14:paraId="01803D3F">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 xml:space="preserve">0.08 </w:t>
            </w:r>
          </w:p>
        </w:tc>
      </w:tr>
      <w:tr w14:paraId="56B3DE4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8" w:type="dxa"/>
            <w:vAlign w:val="center"/>
          </w:tcPr>
          <w:p w14:paraId="6BAA6DDD">
            <w:pPr>
              <w:adjustRightInd w:val="0"/>
              <w:rPr>
                <w:rFonts w:hint="default" w:ascii="Times New Roman" w:hAnsi="Times New Roman" w:cs="Times New Roman"/>
                <w:sz w:val="24"/>
              </w:rPr>
            </w:pPr>
            <w:r>
              <w:rPr>
                <w:rFonts w:hint="default" w:ascii="Times New Roman" w:hAnsi="Times New Roman" w:cs="Times New Roman"/>
                <w:sz w:val="24"/>
              </w:rPr>
              <w:t>6</w:t>
            </w:r>
          </w:p>
        </w:tc>
        <w:tc>
          <w:tcPr>
            <w:tcW w:w="2095" w:type="dxa"/>
            <w:vAlign w:val="center"/>
          </w:tcPr>
          <w:p w14:paraId="4B89622A">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10</w:t>
            </w:r>
          </w:p>
        </w:tc>
        <w:tc>
          <w:tcPr>
            <w:tcW w:w="1608" w:type="dxa"/>
            <w:vAlign w:val="center"/>
          </w:tcPr>
          <w:p w14:paraId="06868A13">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0.02</w:t>
            </w:r>
          </w:p>
        </w:tc>
        <w:tc>
          <w:tcPr>
            <w:tcW w:w="3376" w:type="dxa"/>
            <w:vAlign w:val="center"/>
          </w:tcPr>
          <w:p w14:paraId="1AB3B41B">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HENNY A  J VAN LANEN</w:t>
            </w:r>
          </w:p>
        </w:tc>
        <w:tc>
          <w:tcPr>
            <w:tcW w:w="1626" w:type="dxa"/>
            <w:vAlign w:val="center"/>
          </w:tcPr>
          <w:p w14:paraId="4D25D364">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 xml:space="preserve">0.08 </w:t>
            </w:r>
          </w:p>
        </w:tc>
      </w:tr>
      <w:tr w14:paraId="2EF5F09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8" w:type="dxa"/>
            <w:vAlign w:val="center"/>
          </w:tcPr>
          <w:p w14:paraId="43B78984">
            <w:pPr>
              <w:adjustRightInd w:val="0"/>
              <w:rPr>
                <w:rFonts w:hint="default" w:ascii="Times New Roman" w:hAnsi="Times New Roman" w:cs="Times New Roman"/>
                <w:sz w:val="24"/>
              </w:rPr>
            </w:pPr>
            <w:r>
              <w:rPr>
                <w:rFonts w:hint="default" w:ascii="Times New Roman" w:hAnsi="Times New Roman" w:cs="Times New Roman"/>
                <w:sz w:val="24"/>
              </w:rPr>
              <w:t>7</w:t>
            </w:r>
          </w:p>
        </w:tc>
        <w:tc>
          <w:tcPr>
            <w:tcW w:w="2095" w:type="dxa"/>
            <w:vAlign w:val="center"/>
          </w:tcPr>
          <w:p w14:paraId="3F8E6F8A">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10</w:t>
            </w:r>
          </w:p>
        </w:tc>
        <w:tc>
          <w:tcPr>
            <w:tcW w:w="1608" w:type="dxa"/>
            <w:vAlign w:val="center"/>
          </w:tcPr>
          <w:p w14:paraId="54545935">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0.03</w:t>
            </w:r>
          </w:p>
        </w:tc>
        <w:tc>
          <w:tcPr>
            <w:tcW w:w="3376" w:type="dxa"/>
            <w:vAlign w:val="center"/>
          </w:tcPr>
          <w:p w14:paraId="4226DFCA">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GIULIANODIBALDASSARRE</w:t>
            </w:r>
          </w:p>
        </w:tc>
        <w:tc>
          <w:tcPr>
            <w:tcW w:w="1626" w:type="dxa"/>
            <w:vAlign w:val="center"/>
          </w:tcPr>
          <w:p w14:paraId="44BA8871">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 xml:space="preserve">0.08 </w:t>
            </w:r>
          </w:p>
        </w:tc>
      </w:tr>
      <w:tr w14:paraId="1717696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8" w:type="dxa"/>
            <w:vAlign w:val="center"/>
          </w:tcPr>
          <w:p w14:paraId="6F697B83">
            <w:pPr>
              <w:adjustRightInd w:val="0"/>
              <w:rPr>
                <w:rFonts w:hint="default" w:ascii="Times New Roman" w:hAnsi="Times New Roman" w:cs="Times New Roman"/>
                <w:sz w:val="24"/>
              </w:rPr>
            </w:pPr>
            <w:r>
              <w:rPr>
                <w:rFonts w:hint="default" w:ascii="Times New Roman" w:hAnsi="Times New Roman" w:cs="Times New Roman"/>
                <w:sz w:val="24"/>
              </w:rPr>
              <w:t>8</w:t>
            </w:r>
          </w:p>
        </w:tc>
        <w:tc>
          <w:tcPr>
            <w:tcW w:w="2095" w:type="dxa"/>
            <w:vAlign w:val="center"/>
          </w:tcPr>
          <w:p w14:paraId="1BB6A213">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10</w:t>
            </w:r>
          </w:p>
        </w:tc>
        <w:tc>
          <w:tcPr>
            <w:tcW w:w="1608" w:type="dxa"/>
            <w:vAlign w:val="center"/>
          </w:tcPr>
          <w:p w14:paraId="3EDD4D54">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0.01</w:t>
            </w:r>
          </w:p>
        </w:tc>
        <w:tc>
          <w:tcPr>
            <w:tcW w:w="3376" w:type="dxa"/>
            <w:vAlign w:val="center"/>
          </w:tcPr>
          <w:p w14:paraId="757EE174">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NORMA J MACINTYRE</w:t>
            </w:r>
          </w:p>
        </w:tc>
        <w:tc>
          <w:tcPr>
            <w:tcW w:w="1626" w:type="dxa"/>
            <w:vAlign w:val="center"/>
          </w:tcPr>
          <w:p w14:paraId="4B7A2F68">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 xml:space="preserve">0.08 </w:t>
            </w:r>
          </w:p>
        </w:tc>
      </w:tr>
      <w:tr w14:paraId="4A1D463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8" w:type="dxa"/>
            <w:vAlign w:val="center"/>
          </w:tcPr>
          <w:p w14:paraId="24EDDED9">
            <w:pPr>
              <w:adjustRightInd w:val="0"/>
              <w:rPr>
                <w:rFonts w:hint="default" w:ascii="Times New Roman" w:hAnsi="Times New Roman" w:cs="Times New Roman"/>
                <w:sz w:val="24"/>
              </w:rPr>
            </w:pPr>
            <w:r>
              <w:rPr>
                <w:rFonts w:hint="default" w:ascii="Times New Roman" w:hAnsi="Times New Roman" w:cs="Times New Roman"/>
                <w:sz w:val="24"/>
              </w:rPr>
              <w:t>9</w:t>
            </w:r>
          </w:p>
        </w:tc>
        <w:tc>
          <w:tcPr>
            <w:tcW w:w="2095" w:type="dxa"/>
            <w:vAlign w:val="center"/>
          </w:tcPr>
          <w:p w14:paraId="5299A1B3">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9</w:t>
            </w:r>
          </w:p>
        </w:tc>
        <w:tc>
          <w:tcPr>
            <w:tcW w:w="1608" w:type="dxa"/>
            <w:vAlign w:val="center"/>
          </w:tcPr>
          <w:p w14:paraId="4F66ADED">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w:t>
            </w:r>
          </w:p>
        </w:tc>
        <w:tc>
          <w:tcPr>
            <w:tcW w:w="3376" w:type="dxa"/>
            <w:vAlign w:val="center"/>
          </w:tcPr>
          <w:p w14:paraId="69FEDF95">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LISA C CARLESSO</w:t>
            </w:r>
          </w:p>
        </w:tc>
        <w:tc>
          <w:tcPr>
            <w:tcW w:w="1626" w:type="dxa"/>
            <w:vAlign w:val="center"/>
          </w:tcPr>
          <w:p w14:paraId="10C4E648">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 xml:space="preserve">0.07 </w:t>
            </w:r>
          </w:p>
        </w:tc>
      </w:tr>
      <w:tr w14:paraId="59A4F49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8" w:type="dxa"/>
            <w:vAlign w:val="center"/>
          </w:tcPr>
          <w:p w14:paraId="6BABB65A">
            <w:pPr>
              <w:adjustRightInd w:val="0"/>
              <w:rPr>
                <w:rFonts w:hint="default" w:ascii="Times New Roman" w:hAnsi="Times New Roman" w:cs="Times New Roman"/>
                <w:sz w:val="24"/>
              </w:rPr>
            </w:pPr>
            <w:r>
              <w:rPr>
                <w:rFonts w:hint="default" w:ascii="Times New Roman" w:hAnsi="Times New Roman" w:cs="Times New Roman"/>
                <w:sz w:val="24"/>
              </w:rPr>
              <w:t>10</w:t>
            </w:r>
          </w:p>
        </w:tc>
        <w:tc>
          <w:tcPr>
            <w:tcW w:w="2095" w:type="dxa"/>
            <w:vAlign w:val="center"/>
          </w:tcPr>
          <w:p w14:paraId="633DC4E8">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9</w:t>
            </w:r>
          </w:p>
        </w:tc>
        <w:tc>
          <w:tcPr>
            <w:tcW w:w="1608" w:type="dxa"/>
            <w:vAlign w:val="center"/>
          </w:tcPr>
          <w:p w14:paraId="23C394D3">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w:t>
            </w:r>
          </w:p>
        </w:tc>
        <w:tc>
          <w:tcPr>
            <w:tcW w:w="3376" w:type="dxa"/>
            <w:vAlign w:val="center"/>
          </w:tcPr>
          <w:p w14:paraId="16B954BF">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JULIE RICHARDSON</w:t>
            </w:r>
          </w:p>
        </w:tc>
        <w:tc>
          <w:tcPr>
            <w:tcW w:w="1626" w:type="dxa"/>
            <w:vAlign w:val="center"/>
          </w:tcPr>
          <w:p w14:paraId="0915FF60">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 xml:space="preserve">0.07 </w:t>
            </w:r>
          </w:p>
        </w:tc>
      </w:tr>
    </w:tbl>
    <w:p w14:paraId="72E213D4">
      <w:pPr>
        <w:tabs>
          <w:tab w:val="left" w:pos="1974"/>
        </w:tabs>
        <w:adjustRightInd w:val="0"/>
        <w:spacing w:before="120" w:after="240"/>
        <w:jc w:val="left"/>
        <w:rPr>
          <w:rFonts w:hint="default" w:ascii="Times New Roman" w:hAnsi="Times New Roman" w:eastAsia="楷体" w:cs="Times New Roman"/>
          <w:sz w:val="24"/>
        </w:rPr>
      </w:pPr>
      <w:r>
        <w:rPr>
          <w:rFonts w:hint="default" w:ascii="Times New Roman" w:hAnsi="Times New Roman" w:eastAsia="楷体" w:cs="Times New Roman"/>
          <w:sz w:val="24"/>
        </w:rPr>
        <w:t>The purple outline around the nodes indicates that the authors possess strong centrality, serving as key figures within the research network. Based on the analysis, several collaboration groups were identified:</w:t>
      </w:r>
    </w:p>
    <w:p w14:paraId="6801B131">
      <w:pPr>
        <w:tabs>
          <w:tab w:val="left" w:pos="1974"/>
        </w:tabs>
        <w:adjustRightInd w:val="0"/>
        <w:spacing w:before="120" w:after="240"/>
        <w:jc w:val="left"/>
        <w:rPr>
          <w:rFonts w:hint="default" w:ascii="Times New Roman" w:hAnsi="Times New Roman" w:eastAsia="楷体" w:cs="Times New Roman"/>
          <w:sz w:val="24"/>
        </w:rPr>
      </w:pPr>
      <w:r>
        <w:rPr>
          <w:rFonts w:hint="default" w:ascii="Times New Roman" w:hAnsi="Times New Roman" w:eastAsia="楷体" w:cs="Times New Roman"/>
          <w:sz w:val="24"/>
        </w:rPr>
        <w:t>Group 1: ALBERTO MONTANARI, ALBERTO VIGLIONE, ANNE F VAN LOON, ATTILIO CASTELLARIN, HEIDI KREIBICH, among others</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7</w:t>
      </w:r>
      <w:r>
        <w:rPr>
          <w:rFonts w:hint="default" w:ascii="Times New Roman" w:hAnsi="Times New Roman" w:eastAsia="黑体" w:cs="Times New Roman"/>
          <w:sz w:val="24"/>
          <w:vertAlign w:val="superscript"/>
          <w:lang w:val="en-US" w:eastAsia="zh-CN"/>
        </w:rPr>
        <w:t>]</w:t>
      </w:r>
      <w:r>
        <w:rPr>
          <w:rFonts w:hint="default" w:ascii="Times New Roman" w:hAnsi="Times New Roman" w:eastAsia="楷体" w:cs="Times New Roman"/>
          <w:sz w:val="24"/>
        </w:rPr>
        <w:t>;</w:t>
      </w:r>
    </w:p>
    <w:p w14:paraId="6DAFA1A2">
      <w:pPr>
        <w:tabs>
          <w:tab w:val="left" w:pos="1974"/>
        </w:tabs>
        <w:adjustRightInd w:val="0"/>
        <w:spacing w:before="120" w:after="240"/>
        <w:jc w:val="left"/>
        <w:rPr>
          <w:rFonts w:hint="default" w:ascii="Times New Roman" w:hAnsi="Times New Roman" w:eastAsia="楷体" w:cs="Times New Roman"/>
          <w:sz w:val="24"/>
        </w:rPr>
      </w:pPr>
      <w:r>
        <w:rPr>
          <w:rFonts w:hint="default" w:ascii="Times New Roman" w:hAnsi="Times New Roman" w:eastAsia="楷体" w:cs="Times New Roman"/>
          <w:sz w:val="24"/>
        </w:rPr>
        <w:t xml:space="preserve">Group 2: NORMA J MACINTYRE, B ARHEIMER, C CUDENNEC, A MONTANARI, M SIVAPALAN, etc. </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20</w:t>
      </w:r>
      <w:r>
        <w:rPr>
          <w:rFonts w:hint="default" w:ascii="Times New Roman" w:hAnsi="Times New Roman" w:eastAsia="黑体" w:cs="Times New Roman"/>
          <w:sz w:val="24"/>
          <w:vertAlign w:val="superscript"/>
          <w:lang w:val="en-US" w:eastAsia="zh-CN"/>
        </w:rPr>
        <w:t>]</w:t>
      </w:r>
      <w:r>
        <w:rPr>
          <w:rFonts w:hint="default" w:ascii="Times New Roman" w:hAnsi="Times New Roman" w:eastAsia="楷体" w:cs="Times New Roman"/>
          <w:sz w:val="24"/>
        </w:rPr>
        <w:t>;</w:t>
      </w:r>
    </w:p>
    <w:p w14:paraId="12AAE029">
      <w:pPr>
        <w:tabs>
          <w:tab w:val="left" w:pos="1974"/>
        </w:tabs>
        <w:adjustRightInd w:val="0"/>
        <w:spacing w:before="120" w:after="240"/>
        <w:jc w:val="left"/>
        <w:rPr>
          <w:rFonts w:hint="default" w:ascii="Times New Roman" w:hAnsi="Times New Roman" w:eastAsia="楷体" w:cs="Times New Roman"/>
          <w:sz w:val="24"/>
        </w:rPr>
      </w:pPr>
      <w:r>
        <w:rPr>
          <w:rFonts w:hint="default" w:ascii="Times New Roman" w:hAnsi="Times New Roman" w:eastAsia="楷体" w:cs="Times New Roman"/>
          <w:sz w:val="24"/>
        </w:rPr>
        <w:t>Group 3: PETER ROSENBAUM, FRANCESCO PIRAS, ANTONIO SANTORO, MAURO AGNOLETTI, MARTINA VENTURI</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9</w:t>
      </w:r>
      <w:r>
        <w:rPr>
          <w:rFonts w:hint="default" w:ascii="Times New Roman" w:hAnsi="Times New Roman" w:eastAsia="黑体" w:cs="Times New Roman"/>
          <w:sz w:val="24"/>
          <w:vertAlign w:val="superscript"/>
          <w:lang w:val="en-US" w:eastAsia="zh-CN"/>
        </w:rPr>
        <w:t>]</w:t>
      </w:r>
      <w:r>
        <w:rPr>
          <w:rFonts w:hint="default" w:ascii="Times New Roman" w:hAnsi="Times New Roman" w:eastAsia="楷体" w:cs="Times New Roman"/>
          <w:sz w:val="24"/>
        </w:rPr>
        <w:t>;</w:t>
      </w:r>
    </w:p>
    <w:p w14:paraId="651AFE0A">
      <w:pPr>
        <w:tabs>
          <w:tab w:val="left" w:pos="1974"/>
        </w:tabs>
        <w:adjustRightInd w:val="0"/>
        <w:spacing w:before="120" w:after="240"/>
        <w:jc w:val="left"/>
        <w:rPr>
          <w:rFonts w:hint="default" w:ascii="Times New Roman" w:hAnsi="Times New Roman" w:eastAsia="楷体" w:cs="Times New Roman"/>
          <w:sz w:val="24"/>
        </w:rPr>
      </w:pPr>
      <w:r>
        <w:rPr>
          <w:rFonts w:hint="default" w:ascii="Times New Roman" w:hAnsi="Times New Roman" w:eastAsia="楷体" w:cs="Times New Roman"/>
          <w:sz w:val="24"/>
        </w:rPr>
        <w:t>Group 4: QINGWEN MIN, MOUCHENG LIU, YONGXUN ZHANG, etc</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21</w:t>
      </w:r>
      <w:r>
        <w:rPr>
          <w:rFonts w:hint="default" w:ascii="Times New Roman" w:hAnsi="Times New Roman" w:eastAsia="黑体" w:cs="Times New Roman"/>
          <w:sz w:val="24"/>
          <w:vertAlign w:val="superscript"/>
          <w:lang w:val="en-US" w:eastAsia="zh-CN"/>
        </w:rPr>
        <w:t>]</w:t>
      </w:r>
      <w:r>
        <w:rPr>
          <w:rFonts w:hint="default" w:ascii="Times New Roman" w:hAnsi="Times New Roman" w:eastAsia="楷体" w:cs="Times New Roman"/>
          <w:sz w:val="24"/>
        </w:rPr>
        <w:t xml:space="preserve">. (see </w:t>
      </w:r>
      <w:r>
        <w:rPr>
          <w:rFonts w:hint="default" w:ascii="Times New Roman" w:hAnsi="Times New Roman" w:eastAsia="楷体" w:cs="Times New Roman"/>
          <w:sz w:val="24"/>
          <w:lang w:eastAsia="zh-CN"/>
        </w:rPr>
        <w:t>Figure.</w:t>
      </w:r>
      <w:r>
        <w:rPr>
          <w:rFonts w:hint="default" w:ascii="Times New Roman" w:hAnsi="Times New Roman" w:eastAsia="楷体" w:cs="Times New Roman"/>
          <w:sz w:val="24"/>
        </w:rPr>
        <w:t xml:space="preserve"> 4).</w:t>
      </w:r>
    </w:p>
    <w:p w14:paraId="2C5D6586">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The prominent purple outline around the node of ALBERTO MONTANARI highlights his strong centrality in the network, indicating his role as a regional bridge between different author communities or institutions. His ability to control and distribute information has made him a leader in IAHS research. A red circle in the collaboration network centered on ALBERTO MONTANARI appeared between 2015 and 2017. During this period, researchers from Canada, such as Wall, G., and U.S. researchers like Fulle, established a level of cooperation with Chinese authors. Additionally, Italian researchers like Santoro, A. formed close collaboration networks with authors from Tunisia and El Salvador</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22</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23</w:t>
      </w:r>
      <w:r>
        <w:rPr>
          <w:rFonts w:hint="default" w:ascii="Times New Roman" w:hAnsi="Times New Roman" w:eastAsia="黑体" w:cs="Times New Roman"/>
          <w:sz w:val="24"/>
          <w:vertAlign w:val="superscript"/>
          <w:lang w:val="en-US" w:eastAsia="zh-CN"/>
        </w:rPr>
        <w:t>]</w:t>
      </w:r>
      <w:r>
        <w:rPr>
          <w:rFonts w:hint="default" w:ascii="Times New Roman" w:hAnsi="Times New Roman" w:eastAsia="楷体" w:cs="Times New Roman"/>
          <w:sz w:val="24"/>
        </w:rPr>
        <w:t>, suggesting Italy's strong representation in IAHS research.</w:t>
      </w:r>
    </w:p>
    <w:p w14:paraId="3AE3491A">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As international collaboration in GIAHS research gradually strengthened, further analysis revealed that Japanese authors such as Kohsaka, R., Uchiyama, Y., and Kajihara, H. have also developed regional connections with Korean authors like You, W.H. and Chinese authors. These core authors play a crucial role in leading and advancing the field of IAHS. Based on the methodology for determining core authors, which is based on the number of publications, it was found that QINGWEN MIN is the author with the highest number of papers, publishing 22 articles. Thus, Nmax = 22, and N1 ≈ 9. Authors who have published more than nine papers are considered core contributors to the IAHS field</w:t>
      </w:r>
      <w:r>
        <w:rPr>
          <w:rFonts w:hint="default" w:ascii="Times New Roman" w:hAnsi="Times New Roman" w:eastAsia="黑体" w:cs="Times New Roman"/>
          <w:sz w:val="24"/>
          <w:vertAlign w:val="superscript"/>
          <w:lang w:val="en-US" w:eastAsia="zh-CN"/>
        </w:rPr>
        <w:t>[</w:t>
      </w:r>
      <w:r>
        <w:rPr>
          <w:rFonts w:hint="eastAsia" w:eastAsia="黑体" w:cs="Times New Roman"/>
          <w:sz w:val="24"/>
          <w:vertAlign w:val="superscript"/>
          <w:lang w:val="en-US" w:eastAsia="zh-CN"/>
        </w:rPr>
        <w:t>1</w:t>
      </w:r>
      <w:r>
        <w:rPr>
          <w:rFonts w:hint="default" w:ascii="Times New Roman" w:hAnsi="Times New Roman" w:eastAsia="黑体" w:cs="Times New Roman"/>
          <w:sz w:val="24"/>
          <w:vertAlign w:val="superscript"/>
          <w:lang w:val="en-US" w:eastAsia="zh-CN"/>
        </w:rPr>
        <w:t>8]</w:t>
      </w:r>
      <w:r>
        <w:rPr>
          <w:rFonts w:hint="default" w:ascii="Times New Roman" w:hAnsi="Times New Roman" w:eastAsia="楷体" w:cs="Times New Roman"/>
          <w:sz w:val="24"/>
        </w:rPr>
        <w:t>. According to the statistics, there are 11 core authors in IAHS research, with a total of 139 papers, representing 25.88% of the total literature in international IAHS research. However, the formation of a core author group requires that the core authors contribute 50% of the total publications in the field, which this threshold does not meet. Therefore, a core group of authors has yet to be fully established in IAHS research.</w:t>
      </w:r>
    </w:p>
    <w:p w14:paraId="28913930">
      <w:pPr>
        <w:pStyle w:val="30"/>
        <w:numPr>
          <w:ilvl w:val="0"/>
          <w:numId w:val="4"/>
        </w:numPr>
        <w:tabs>
          <w:tab w:val="left" w:pos="1974"/>
        </w:tabs>
        <w:spacing w:before="40" w:after="120"/>
        <w:ind w:left="361" w:leftChars="0" w:hanging="361" w:firstLineChars="0"/>
        <w:jc w:val="left"/>
        <w:outlineLvl w:val="2"/>
        <w:rPr>
          <w:rFonts w:hint="default" w:ascii="Times New Roman" w:hAnsi="Times New Roman" w:eastAsia="宋体" w:cs="Times New Roman"/>
          <w:b/>
          <w:bCs/>
          <w:sz w:val="24"/>
        </w:rPr>
      </w:pPr>
      <w:r>
        <w:rPr>
          <w:rFonts w:hint="default" w:ascii="Times New Roman" w:hAnsi="Times New Roman" w:eastAsia="宋体" w:cs="Times New Roman"/>
          <w:b/>
          <w:bCs/>
          <w:sz w:val="24"/>
        </w:rPr>
        <w:t>Cited Authors and Journals</w:t>
      </w:r>
    </w:p>
    <w:p w14:paraId="466F49A1">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To systematically understand the authors and their publication impact, we selected the "Cited Authors" and "Cited Journals" options in the node type column of CiteSpace 6.2.R6, with the time frame set from 2006 to 2023. After running the software, we obtained citation networks for authors and journals, as shown in Table 4 and Table 5. These networks reveal the academic community within the research field. By analyzing the co</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citation of journals, we can identify the knowledge base of a specific research area</w:t>
      </w:r>
      <w:r>
        <w:rPr>
          <w:rFonts w:hint="default" w:ascii="Times New Roman" w:hAnsi="Times New Roman" w:eastAsia="黑体" w:cs="Times New Roman"/>
          <w:sz w:val="24"/>
          <w:vertAlign w:val="superscript"/>
          <w:lang w:val="en-US" w:eastAsia="zh-CN"/>
        </w:rPr>
        <w:t>[15]</w:t>
      </w:r>
      <w:r>
        <w:rPr>
          <w:rFonts w:hint="default" w:ascii="Times New Roman" w:hAnsi="Times New Roman" w:eastAsia="楷体" w:cs="Times New Roman"/>
          <w:sz w:val="24"/>
        </w:rPr>
        <w:t>.</w:t>
      </w:r>
    </w:p>
    <w:p w14:paraId="362600CF">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The most cited author, ANONYMOUS, has been cited 285 times. Among the journals, Water Resources Research and Journal of Hydrology are the most frequently cited, each with 124 citations. Both journals have an impact factor of 5.4 (Q1) and 6.4 (Q1), respectively, in 2023. Table 4 and Table 5 provide rankings of influential authors and journals in the field of IAHS.</w:t>
      </w:r>
    </w:p>
    <w:p w14:paraId="397CA63D">
      <w:pPr>
        <w:tabs>
          <w:tab w:val="left" w:pos="1974"/>
        </w:tabs>
        <w:adjustRightInd w:val="0"/>
        <w:ind w:firstLine="241" w:firstLineChars="100"/>
        <w:jc w:val="center"/>
        <w:rPr>
          <w:rFonts w:hint="default" w:ascii="Times New Roman" w:hAnsi="Times New Roman" w:eastAsia="楷体" w:cs="Times New Roman"/>
          <w:sz w:val="24"/>
        </w:rPr>
      </w:pPr>
      <w:r>
        <w:rPr>
          <w:rFonts w:hint="default" w:ascii="Times New Roman" w:hAnsi="Times New Roman" w:eastAsia="楷体" w:cs="Times New Roman"/>
          <w:b/>
          <w:bCs/>
          <w:sz w:val="24"/>
        </w:rPr>
        <w:t>Table 4.</w:t>
      </w:r>
      <w:r>
        <w:rPr>
          <w:rFonts w:hint="default" w:ascii="Times New Roman" w:hAnsi="Times New Roman" w:eastAsia="楷体" w:cs="Times New Roman"/>
          <w:sz w:val="24"/>
        </w:rPr>
        <w:t xml:space="preserve"> Top 8 Most Cited Authors in IAHS Research</w:t>
      </w:r>
    </w:p>
    <w:tbl>
      <w:tblPr>
        <w:tblStyle w:val="20"/>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4"/>
        <w:gridCol w:w="1545"/>
        <w:gridCol w:w="2369"/>
      </w:tblGrid>
      <w:tr w14:paraId="33260DB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tcBorders>
              <w:top w:val="single" w:color="auto" w:sz="4" w:space="0"/>
              <w:bottom w:val="single" w:color="auto" w:sz="4" w:space="0"/>
            </w:tcBorders>
            <w:vAlign w:val="center"/>
          </w:tcPr>
          <w:p w14:paraId="5EB3AF0A">
            <w:pPr>
              <w:adjustRightInd w:val="0"/>
              <w:rPr>
                <w:rFonts w:hint="default" w:ascii="Times New Roman" w:hAnsi="Times New Roman" w:cs="Times New Roman"/>
                <w:b/>
                <w:bCs/>
                <w:sz w:val="24"/>
              </w:rPr>
            </w:pPr>
            <w:r>
              <w:rPr>
                <w:rFonts w:hint="default" w:ascii="Times New Roman" w:hAnsi="Times New Roman" w:eastAsia="宋体" w:cs="Times New Roman"/>
                <w:b/>
                <w:bCs/>
                <w:sz w:val="24"/>
              </w:rPr>
              <w:t>Cited Times</w:t>
            </w:r>
          </w:p>
        </w:tc>
        <w:tc>
          <w:tcPr>
            <w:tcW w:w="1545" w:type="dxa"/>
            <w:tcBorders>
              <w:top w:val="single" w:color="auto" w:sz="4" w:space="0"/>
              <w:bottom w:val="single" w:color="auto" w:sz="4" w:space="0"/>
            </w:tcBorders>
            <w:vAlign w:val="center"/>
          </w:tcPr>
          <w:p w14:paraId="52D89E0B">
            <w:pPr>
              <w:adjustRightInd w:val="0"/>
              <w:rPr>
                <w:rFonts w:hint="default" w:ascii="Times New Roman" w:hAnsi="Times New Roman" w:cs="Times New Roman"/>
                <w:b/>
                <w:bCs/>
                <w:sz w:val="24"/>
              </w:rPr>
            </w:pPr>
            <w:r>
              <w:rPr>
                <w:rFonts w:hint="default" w:ascii="Times New Roman" w:hAnsi="Times New Roman" w:eastAsia="宋体" w:cs="Times New Roman"/>
                <w:b/>
                <w:bCs/>
                <w:sz w:val="24"/>
              </w:rPr>
              <w:t>Centrality</w:t>
            </w:r>
          </w:p>
        </w:tc>
        <w:tc>
          <w:tcPr>
            <w:tcW w:w="2369" w:type="dxa"/>
            <w:tcBorders>
              <w:top w:val="single" w:color="auto" w:sz="4" w:space="0"/>
              <w:bottom w:val="single" w:color="auto" w:sz="4" w:space="0"/>
            </w:tcBorders>
            <w:vAlign w:val="center"/>
          </w:tcPr>
          <w:p w14:paraId="57547ECD">
            <w:pPr>
              <w:adjustRightInd w:val="0"/>
              <w:rPr>
                <w:rFonts w:hint="default" w:ascii="Times New Roman" w:hAnsi="Times New Roman" w:cs="Times New Roman"/>
                <w:b/>
                <w:bCs/>
                <w:sz w:val="24"/>
              </w:rPr>
            </w:pPr>
            <w:r>
              <w:rPr>
                <w:rFonts w:hint="default" w:ascii="Times New Roman" w:hAnsi="Times New Roman" w:eastAsia="宋体" w:cs="Times New Roman"/>
                <w:b/>
                <w:bCs/>
                <w:sz w:val="24"/>
              </w:rPr>
              <w:t>Cited Author Name</w:t>
            </w:r>
          </w:p>
        </w:tc>
      </w:tr>
      <w:tr w14:paraId="4FC29F2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tcBorders>
              <w:top w:val="single" w:color="auto" w:sz="4" w:space="0"/>
            </w:tcBorders>
            <w:vAlign w:val="center"/>
          </w:tcPr>
          <w:p w14:paraId="27666B91">
            <w:pPr>
              <w:adjustRightInd w:val="0"/>
              <w:rPr>
                <w:rFonts w:hint="default" w:ascii="Times New Roman" w:hAnsi="Times New Roman" w:cs="Times New Roman"/>
                <w:sz w:val="24"/>
              </w:rPr>
            </w:pPr>
            <w:r>
              <w:rPr>
                <w:rFonts w:hint="default" w:ascii="Times New Roman" w:hAnsi="Times New Roman" w:cs="Times New Roman"/>
                <w:sz w:val="24"/>
              </w:rPr>
              <w:t>285</w:t>
            </w:r>
          </w:p>
        </w:tc>
        <w:tc>
          <w:tcPr>
            <w:tcW w:w="1545" w:type="dxa"/>
            <w:tcBorders>
              <w:top w:val="single" w:color="auto" w:sz="4" w:space="0"/>
            </w:tcBorders>
            <w:vAlign w:val="center"/>
          </w:tcPr>
          <w:p w14:paraId="29B0DFE7">
            <w:pPr>
              <w:adjustRightInd w:val="0"/>
              <w:rPr>
                <w:rFonts w:hint="default" w:ascii="Times New Roman" w:hAnsi="Times New Roman" w:cs="Times New Roman"/>
                <w:sz w:val="24"/>
              </w:rPr>
            </w:pPr>
            <w:r>
              <w:rPr>
                <w:rFonts w:hint="default" w:ascii="Times New Roman" w:hAnsi="Times New Roman" w:cs="Times New Roman"/>
                <w:sz w:val="24"/>
              </w:rPr>
              <w:t>0.44</w:t>
            </w:r>
          </w:p>
        </w:tc>
        <w:tc>
          <w:tcPr>
            <w:tcW w:w="2369" w:type="dxa"/>
            <w:tcBorders>
              <w:top w:val="single" w:color="auto" w:sz="4" w:space="0"/>
            </w:tcBorders>
            <w:vAlign w:val="center"/>
          </w:tcPr>
          <w:p w14:paraId="3CAD8B72">
            <w:pPr>
              <w:adjustRightInd w:val="0"/>
              <w:rPr>
                <w:rFonts w:hint="default" w:ascii="Times New Roman" w:hAnsi="Times New Roman" w:cs="Times New Roman"/>
                <w:sz w:val="24"/>
              </w:rPr>
            </w:pPr>
            <w:r>
              <w:rPr>
                <w:rFonts w:hint="default" w:ascii="Times New Roman" w:hAnsi="Times New Roman" w:cs="Times New Roman"/>
                <w:sz w:val="24"/>
              </w:rPr>
              <w:t>ANONYMOUS</w:t>
            </w:r>
          </w:p>
        </w:tc>
      </w:tr>
      <w:tr w14:paraId="66E53C9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4EA3F88D">
            <w:pPr>
              <w:adjustRightInd w:val="0"/>
              <w:rPr>
                <w:rFonts w:hint="default" w:ascii="Times New Roman" w:hAnsi="Times New Roman" w:cs="Times New Roman"/>
                <w:sz w:val="24"/>
              </w:rPr>
            </w:pPr>
            <w:r>
              <w:rPr>
                <w:rFonts w:hint="default" w:ascii="Times New Roman" w:hAnsi="Times New Roman" w:cs="Times New Roman"/>
                <w:sz w:val="24"/>
              </w:rPr>
              <w:t>38</w:t>
            </w:r>
          </w:p>
        </w:tc>
        <w:tc>
          <w:tcPr>
            <w:tcW w:w="1545" w:type="dxa"/>
            <w:vAlign w:val="center"/>
          </w:tcPr>
          <w:p w14:paraId="70677ACA">
            <w:pPr>
              <w:adjustRightInd w:val="0"/>
              <w:rPr>
                <w:rFonts w:hint="default" w:ascii="Times New Roman" w:hAnsi="Times New Roman" w:cs="Times New Roman"/>
                <w:sz w:val="24"/>
              </w:rPr>
            </w:pPr>
            <w:r>
              <w:rPr>
                <w:rFonts w:hint="default" w:ascii="Times New Roman" w:hAnsi="Times New Roman" w:cs="Times New Roman"/>
                <w:sz w:val="24"/>
              </w:rPr>
              <w:t>0.07</w:t>
            </w:r>
          </w:p>
        </w:tc>
        <w:tc>
          <w:tcPr>
            <w:tcW w:w="2369" w:type="dxa"/>
            <w:vAlign w:val="center"/>
          </w:tcPr>
          <w:p w14:paraId="7A287AFC">
            <w:pPr>
              <w:adjustRightInd w:val="0"/>
              <w:rPr>
                <w:rFonts w:hint="default" w:ascii="Times New Roman" w:hAnsi="Times New Roman" w:cs="Times New Roman"/>
                <w:sz w:val="24"/>
              </w:rPr>
            </w:pPr>
            <w:r>
              <w:rPr>
                <w:rFonts w:hint="default" w:ascii="Times New Roman" w:hAnsi="Times New Roman" w:cs="Times New Roman"/>
                <w:sz w:val="24"/>
              </w:rPr>
              <w:t>MONTANARI A</w:t>
            </w:r>
          </w:p>
        </w:tc>
      </w:tr>
      <w:tr w14:paraId="0CF354B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1567B5C9">
            <w:pPr>
              <w:adjustRightInd w:val="0"/>
              <w:rPr>
                <w:rFonts w:hint="default" w:ascii="Times New Roman" w:hAnsi="Times New Roman" w:cs="Times New Roman"/>
                <w:sz w:val="24"/>
              </w:rPr>
            </w:pPr>
            <w:r>
              <w:rPr>
                <w:rFonts w:hint="default" w:ascii="Times New Roman" w:hAnsi="Times New Roman" w:cs="Times New Roman"/>
                <w:sz w:val="24"/>
              </w:rPr>
              <w:t>38</w:t>
            </w:r>
          </w:p>
        </w:tc>
        <w:tc>
          <w:tcPr>
            <w:tcW w:w="1545" w:type="dxa"/>
            <w:vAlign w:val="center"/>
          </w:tcPr>
          <w:p w14:paraId="5BB9BF59">
            <w:pPr>
              <w:adjustRightInd w:val="0"/>
              <w:rPr>
                <w:rFonts w:hint="default" w:ascii="Times New Roman" w:hAnsi="Times New Roman" w:cs="Times New Roman"/>
                <w:sz w:val="24"/>
              </w:rPr>
            </w:pPr>
            <w:r>
              <w:rPr>
                <w:rFonts w:hint="default" w:ascii="Times New Roman" w:hAnsi="Times New Roman" w:cs="Times New Roman"/>
                <w:sz w:val="24"/>
              </w:rPr>
              <w:t>0.25</w:t>
            </w:r>
          </w:p>
        </w:tc>
        <w:tc>
          <w:tcPr>
            <w:tcW w:w="2369" w:type="dxa"/>
            <w:vAlign w:val="center"/>
          </w:tcPr>
          <w:p w14:paraId="4782A5F0">
            <w:pPr>
              <w:adjustRightInd w:val="0"/>
              <w:rPr>
                <w:rFonts w:hint="default" w:ascii="Times New Roman" w:hAnsi="Times New Roman" w:cs="Times New Roman"/>
                <w:sz w:val="24"/>
              </w:rPr>
            </w:pPr>
            <w:r>
              <w:rPr>
                <w:rFonts w:hint="default" w:ascii="Times New Roman" w:hAnsi="Times New Roman" w:cs="Times New Roman"/>
                <w:sz w:val="24"/>
              </w:rPr>
              <w:t>FAO</w:t>
            </w:r>
          </w:p>
        </w:tc>
      </w:tr>
      <w:tr w14:paraId="123101B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6A2FB1D4">
            <w:pPr>
              <w:adjustRightInd w:val="0"/>
              <w:rPr>
                <w:rFonts w:hint="default" w:ascii="Times New Roman" w:hAnsi="Times New Roman" w:cs="Times New Roman"/>
                <w:sz w:val="24"/>
              </w:rPr>
            </w:pPr>
            <w:r>
              <w:rPr>
                <w:rFonts w:hint="default" w:ascii="Times New Roman" w:hAnsi="Times New Roman" w:cs="Times New Roman"/>
                <w:sz w:val="24"/>
              </w:rPr>
              <w:t>37</w:t>
            </w:r>
          </w:p>
        </w:tc>
        <w:tc>
          <w:tcPr>
            <w:tcW w:w="1545" w:type="dxa"/>
            <w:vAlign w:val="center"/>
          </w:tcPr>
          <w:p w14:paraId="4A0BE2E6">
            <w:pPr>
              <w:adjustRightInd w:val="0"/>
              <w:rPr>
                <w:rFonts w:hint="default" w:ascii="Times New Roman" w:hAnsi="Times New Roman" w:cs="Times New Roman"/>
                <w:sz w:val="24"/>
              </w:rPr>
            </w:pPr>
            <w:r>
              <w:rPr>
                <w:rFonts w:hint="default" w:ascii="Times New Roman" w:hAnsi="Times New Roman" w:cs="Times New Roman"/>
                <w:sz w:val="24"/>
              </w:rPr>
              <w:t>0.05</w:t>
            </w:r>
          </w:p>
        </w:tc>
        <w:tc>
          <w:tcPr>
            <w:tcW w:w="2369" w:type="dxa"/>
            <w:vAlign w:val="center"/>
          </w:tcPr>
          <w:p w14:paraId="2D5F23D6">
            <w:pPr>
              <w:adjustRightInd w:val="0"/>
              <w:rPr>
                <w:rFonts w:hint="default" w:ascii="Times New Roman" w:hAnsi="Times New Roman" w:cs="Times New Roman"/>
                <w:sz w:val="24"/>
              </w:rPr>
            </w:pPr>
            <w:r>
              <w:rPr>
                <w:rFonts w:hint="default" w:ascii="Times New Roman" w:hAnsi="Times New Roman" w:cs="Times New Roman"/>
                <w:sz w:val="24"/>
              </w:rPr>
              <w:t>DI BG</w:t>
            </w:r>
          </w:p>
        </w:tc>
      </w:tr>
      <w:tr w14:paraId="03320EA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18E69DE0">
            <w:pPr>
              <w:adjustRightInd w:val="0"/>
              <w:rPr>
                <w:rFonts w:hint="default" w:ascii="Times New Roman" w:hAnsi="Times New Roman" w:cs="Times New Roman"/>
                <w:sz w:val="24"/>
              </w:rPr>
            </w:pPr>
            <w:r>
              <w:rPr>
                <w:rFonts w:hint="default" w:ascii="Times New Roman" w:hAnsi="Times New Roman" w:cs="Times New Roman"/>
                <w:sz w:val="24"/>
              </w:rPr>
              <w:t>34</w:t>
            </w:r>
          </w:p>
        </w:tc>
        <w:tc>
          <w:tcPr>
            <w:tcW w:w="1545" w:type="dxa"/>
            <w:vAlign w:val="center"/>
          </w:tcPr>
          <w:p w14:paraId="2FBF42FD">
            <w:pPr>
              <w:adjustRightInd w:val="0"/>
              <w:rPr>
                <w:rFonts w:hint="default" w:ascii="Times New Roman" w:hAnsi="Times New Roman" w:cs="Times New Roman"/>
                <w:sz w:val="24"/>
              </w:rPr>
            </w:pPr>
            <w:r>
              <w:rPr>
                <w:rFonts w:hint="default" w:ascii="Times New Roman" w:hAnsi="Times New Roman" w:cs="Times New Roman"/>
                <w:sz w:val="24"/>
              </w:rPr>
              <w:t>0.04</w:t>
            </w:r>
          </w:p>
        </w:tc>
        <w:tc>
          <w:tcPr>
            <w:tcW w:w="2369" w:type="dxa"/>
            <w:vAlign w:val="center"/>
          </w:tcPr>
          <w:p w14:paraId="08C8286A">
            <w:pPr>
              <w:adjustRightInd w:val="0"/>
              <w:rPr>
                <w:rFonts w:hint="default" w:ascii="Times New Roman" w:hAnsi="Times New Roman" w:cs="Times New Roman"/>
                <w:sz w:val="24"/>
              </w:rPr>
            </w:pPr>
            <w:r>
              <w:rPr>
                <w:rFonts w:hint="default" w:ascii="Times New Roman" w:hAnsi="Times New Roman" w:cs="Times New Roman"/>
                <w:sz w:val="24"/>
              </w:rPr>
              <w:t>SIVAPALAN M</w:t>
            </w:r>
          </w:p>
        </w:tc>
      </w:tr>
      <w:tr w14:paraId="3959C42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4AA01F24">
            <w:pPr>
              <w:adjustRightInd w:val="0"/>
              <w:rPr>
                <w:rFonts w:hint="default" w:ascii="Times New Roman" w:hAnsi="Times New Roman" w:cs="Times New Roman"/>
                <w:sz w:val="24"/>
              </w:rPr>
            </w:pPr>
            <w:r>
              <w:rPr>
                <w:rFonts w:hint="default" w:ascii="Times New Roman" w:hAnsi="Times New Roman" w:cs="Times New Roman"/>
                <w:sz w:val="24"/>
              </w:rPr>
              <w:t>34</w:t>
            </w:r>
          </w:p>
        </w:tc>
        <w:tc>
          <w:tcPr>
            <w:tcW w:w="1545" w:type="dxa"/>
            <w:vAlign w:val="center"/>
          </w:tcPr>
          <w:p w14:paraId="11C01413">
            <w:pPr>
              <w:adjustRightInd w:val="0"/>
              <w:rPr>
                <w:rFonts w:hint="default" w:ascii="Times New Roman" w:hAnsi="Times New Roman" w:cs="Times New Roman"/>
                <w:sz w:val="24"/>
              </w:rPr>
            </w:pPr>
            <w:r>
              <w:rPr>
                <w:rFonts w:hint="default" w:ascii="Times New Roman" w:hAnsi="Times New Roman" w:cs="Times New Roman"/>
                <w:sz w:val="24"/>
              </w:rPr>
              <w:t>0.09</w:t>
            </w:r>
          </w:p>
        </w:tc>
        <w:tc>
          <w:tcPr>
            <w:tcW w:w="2369" w:type="dxa"/>
            <w:vAlign w:val="center"/>
          </w:tcPr>
          <w:p w14:paraId="16C1A349">
            <w:pPr>
              <w:adjustRightInd w:val="0"/>
              <w:rPr>
                <w:rFonts w:hint="default" w:ascii="Times New Roman" w:hAnsi="Times New Roman" w:cs="Times New Roman"/>
                <w:sz w:val="24"/>
              </w:rPr>
            </w:pPr>
            <w:r>
              <w:rPr>
                <w:rFonts w:hint="default" w:ascii="Times New Roman" w:hAnsi="Times New Roman" w:cs="Times New Roman"/>
                <w:sz w:val="24"/>
              </w:rPr>
              <w:t>BL枚SCHL G</w:t>
            </w:r>
          </w:p>
        </w:tc>
      </w:tr>
      <w:tr w14:paraId="6ED732C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683F232C">
            <w:pPr>
              <w:adjustRightInd w:val="0"/>
              <w:rPr>
                <w:rFonts w:hint="default" w:ascii="Times New Roman" w:hAnsi="Times New Roman" w:cs="Times New Roman"/>
                <w:sz w:val="24"/>
              </w:rPr>
            </w:pPr>
            <w:r>
              <w:rPr>
                <w:rFonts w:hint="default" w:ascii="Times New Roman" w:hAnsi="Times New Roman" w:cs="Times New Roman"/>
                <w:sz w:val="24"/>
              </w:rPr>
              <w:t>29</w:t>
            </w:r>
          </w:p>
        </w:tc>
        <w:tc>
          <w:tcPr>
            <w:tcW w:w="1545" w:type="dxa"/>
            <w:vAlign w:val="center"/>
          </w:tcPr>
          <w:p w14:paraId="10A25D5C">
            <w:pPr>
              <w:adjustRightInd w:val="0"/>
              <w:rPr>
                <w:rFonts w:hint="default" w:ascii="Times New Roman" w:hAnsi="Times New Roman" w:cs="Times New Roman"/>
                <w:sz w:val="24"/>
              </w:rPr>
            </w:pPr>
            <w:r>
              <w:rPr>
                <w:rFonts w:hint="default" w:ascii="Times New Roman" w:hAnsi="Times New Roman" w:cs="Times New Roman"/>
                <w:sz w:val="24"/>
              </w:rPr>
              <w:t>0.07</w:t>
            </w:r>
          </w:p>
        </w:tc>
        <w:tc>
          <w:tcPr>
            <w:tcW w:w="2369" w:type="dxa"/>
            <w:vAlign w:val="center"/>
          </w:tcPr>
          <w:p w14:paraId="3640E43F">
            <w:pPr>
              <w:adjustRightInd w:val="0"/>
              <w:rPr>
                <w:rFonts w:hint="default" w:ascii="Times New Roman" w:hAnsi="Times New Roman" w:cs="Times New Roman"/>
                <w:sz w:val="24"/>
              </w:rPr>
            </w:pPr>
            <w:r>
              <w:rPr>
                <w:rFonts w:hint="default" w:ascii="Times New Roman" w:hAnsi="Times New Roman" w:cs="Times New Roman"/>
                <w:sz w:val="24"/>
              </w:rPr>
              <w:t>KOOHAFKAN P</w:t>
            </w:r>
          </w:p>
        </w:tc>
      </w:tr>
      <w:tr w14:paraId="5632592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739ED72F">
            <w:pPr>
              <w:adjustRightInd w:val="0"/>
              <w:rPr>
                <w:rFonts w:hint="default" w:ascii="Times New Roman" w:hAnsi="Times New Roman" w:cs="Times New Roman"/>
                <w:sz w:val="24"/>
              </w:rPr>
            </w:pPr>
            <w:r>
              <w:rPr>
                <w:rFonts w:hint="default" w:ascii="Times New Roman" w:hAnsi="Times New Roman" w:cs="Times New Roman"/>
                <w:sz w:val="24"/>
              </w:rPr>
              <w:t>28</w:t>
            </w:r>
          </w:p>
        </w:tc>
        <w:tc>
          <w:tcPr>
            <w:tcW w:w="1545" w:type="dxa"/>
            <w:vAlign w:val="center"/>
          </w:tcPr>
          <w:p w14:paraId="5D2C9C56">
            <w:pPr>
              <w:adjustRightInd w:val="0"/>
              <w:rPr>
                <w:rFonts w:hint="default" w:ascii="Times New Roman" w:hAnsi="Times New Roman" w:cs="Times New Roman"/>
                <w:sz w:val="24"/>
              </w:rPr>
            </w:pPr>
            <w:r>
              <w:rPr>
                <w:rFonts w:hint="default" w:ascii="Times New Roman" w:hAnsi="Times New Roman" w:cs="Times New Roman"/>
                <w:sz w:val="24"/>
              </w:rPr>
              <w:t>0.03</w:t>
            </w:r>
          </w:p>
        </w:tc>
        <w:tc>
          <w:tcPr>
            <w:tcW w:w="2369" w:type="dxa"/>
            <w:vAlign w:val="center"/>
          </w:tcPr>
          <w:p w14:paraId="0271A7F5">
            <w:pPr>
              <w:adjustRightInd w:val="0"/>
              <w:rPr>
                <w:rFonts w:hint="default" w:ascii="Times New Roman" w:hAnsi="Times New Roman" w:cs="Times New Roman"/>
                <w:sz w:val="24"/>
              </w:rPr>
            </w:pPr>
            <w:r>
              <w:rPr>
                <w:rFonts w:hint="default" w:ascii="Times New Roman" w:hAnsi="Times New Roman" w:cs="Times New Roman"/>
                <w:sz w:val="24"/>
              </w:rPr>
              <w:t>HOEKSTRA AY</w:t>
            </w:r>
          </w:p>
        </w:tc>
      </w:tr>
      <w:tr w14:paraId="06B1042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21F75BD3">
            <w:pPr>
              <w:adjustRightInd w:val="0"/>
              <w:rPr>
                <w:rFonts w:hint="default" w:ascii="Times New Roman" w:hAnsi="Times New Roman" w:cs="Times New Roman"/>
                <w:sz w:val="24"/>
              </w:rPr>
            </w:pPr>
            <w:r>
              <w:rPr>
                <w:rFonts w:hint="default" w:ascii="Times New Roman" w:hAnsi="Times New Roman" w:cs="Times New Roman"/>
                <w:sz w:val="24"/>
              </w:rPr>
              <w:t>24</w:t>
            </w:r>
          </w:p>
        </w:tc>
        <w:tc>
          <w:tcPr>
            <w:tcW w:w="1545" w:type="dxa"/>
            <w:vAlign w:val="center"/>
          </w:tcPr>
          <w:p w14:paraId="25251C19">
            <w:pPr>
              <w:adjustRightInd w:val="0"/>
              <w:rPr>
                <w:rFonts w:hint="default" w:ascii="Times New Roman" w:hAnsi="Times New Roman" w:cs="Times New Roman"/>
                <w:sz w:val="24"/>
              </w:rPr>
            </w:pPr>
            <w:r>
              <w:rPr>
                <w:rFonts w:hint="default" w:ascii="Times New Roman" w:hAnsi="Times New Roman" w:cs="Times New Roman"/>
                <w:sz w:val="24"/>
              </w:rPr>
              <w:t>0.07</w:t>
            </w:r>
          </w:p>
        </w:tc>
        <w:tc>
          <w:tcPr>
            <w:tcW w:w="2369" w:type="dxa"/>
            <w:vAlign w:val="center"/>
          </w:tcPr>
          <w:p w14:paraId="7520BDAA">
            <w:pPr>
              <w:adjustRightInd w:val="0"/>
              <w:rPr>
                <w:rFonts w:hint="default" w:ascii="Times New Roman" w:hAnsi="Times New Roman" w:cs="Times New Roman"/>
                <w:sz w:val="24"/>
              </w:rPr>
            </w:pPr>
            <w:r>
              <w:rPr>
                <w:rFonts w:hint="default" w:ascii="Times New Roman" w:hAnsi="Times New Roman" w:cs="Times New Roman"/>
                <w:sz w:val="24"/>
              </w:rPr>
              <w:t>AGNOLETTI M</w:t>
            </w:r>
          </w:p>
        </w:tc>
      </w:tr>
      <w:tr w14:paraId="32A0099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42D4CD4E">
            <w:pPr>
              <w:adjustRightInd w:val="0"/>
              <w:rPr>
                <w:rFonts w:hint="default" w:ascii="Times New Roman" w:hAnsi="Times New Roman" w:cs="Times New Roman"/>
                <w:sz w:val="24"/>
              </w:rPr>
            </w:pPr>
            <w:r>
              <w:rPr>
                <w:rFonts w:hint="default" w:ascii="Times New Roman" w:hAnsi="Times New Roman" w:cs="Times New Roman"/>
                <w:sz w:val="24"/>
              </w:rPr>
              <w:t>23</w:t>
            </w:r>
          </w:p>
        </w:tc>
        <w:tc>
          <w:tcPr>
            <w:tcW w:w="1545" w:type="dxa"/>
            <w:vAlign w:val="center"/>
          </w:tcPr>
          <w:p w14:paraId="4002FA4D">
            <w:pPr>
              <w:adjustRightInd w:val="0"/>
              <w:rPr>
                <w:rFonts w:hint="default" w:ascii="Times New Roman" w:hAnsi="Times New Roman" w:cs="Times New Roman"/>
                <w:sz w:val="24"/>
              </w:rPr>
            </w:pPr>
            <w:r>
              <w:rPr>
                <w:rFonts w:hint="default" w:ascii="Times New Roman" w:hAnsi="Times New Roman" w:cs="Times New Roman"/>
                <w:sz w:val="24"/>
              </w:rPr>
              <w:t>0.03</w:t>
            </w:r>
          </w:p>
        </w:tc>
        <w:tc>
          <w:tcPr>
            <w:tcW w:w="2369" w:type="dxa"/>
            <w:vAlign w:val="center"/>
          </w:tcPr>
          <w:p w14:paraId="28187DFE">
            <w:pPr>
              <w:adjustRightInd w:val="0"/>
              <w:rPr>
                <w:rFonts w:hint="default" w:ascii="Times New Roman" w:hAnsi="Times New Roman" w:cs="Times New Roman"/>
                <w:sz w:val="24"/>
              </w:rPr>
            </w:pPr>
            <w:r>
              <w:rPr>
                <w:rFonts w:hint="default" w:ascii="Times New Roman" w:hAnsi="Times New Roman" w:cs="Times New Roman"/>
                <w:sz w:val="24"/>
              </w:rPr>
              <w:t>BLOSCHL G</w:t>
            </w:r>
          </w:p>
        </w:tc>
      </w:tr>
    </w:tbl>
    <w:p w14:paraId="47B5DB05">
      <w:pPr>
        <w:tabs>
          <w:tab w:val="left" w:pos="1974"/>
        </w:tabs>
        <w:adjustRightInd w:val="0"/>
        <w:ind w:firstLine="241" w:firstLineChars="100"/>
        <w:jc w:val="center"/>
        <w:rPr>
          <w:rFonts w:hint="default" w:ascii="Times New Roman" w:hAnsi="Times New Roman" w:eastAsia="楷体" w:cs="Times New Roman"/>
          <w:sz w:val="24"/>
        </w:rPr>
      </w:pPr>
      <w:r>
        <w:rPr>
          <w:rFonts w:hint="default" w:ascii="Times New Roman" w:hAnsi="Times New Roman" w:eastAsia="楷体" w:cs="Times New Roman"/>
          <w:b/>
          <w:bCs/>
          <w:sz w:val="24"/>
        </w:rPr>
        <w:t>Table 5.</w:t>
      </w:r>
      <w:r>
        <w:rPr>
          <w:rFonts w:hint="default" w:ascii="Times New Roman" w:hAnsi="Times New Roman" w:eastAsia="楷体" w:cs="Times New Roman"/>
          <w:sz w:val="24"/>
        </w:rPr>
        <w:t xml:space="preserve"> Top 10 Most Cited Journals in IAHS Research</w:t>
      </w:r>
    </w:p>
    <w:tbl>
      <w:tblPr>
        <w:tblStyle w:val="20"/>
        <w:tblW w:w="7760"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4"/>
        <w:gridCol w:w="1704"/>
        <w:gridCol w:w="1435"/>
        <w:gridCol w:w="2917"/>
      </w:tblGrid>
      <w:tr w14:paraId="08B95E5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tcBorders>
              <w:top w:val="single" w:color="auto" w:sz="4" w:space="0"/>
              <w:bottom w:val="single" w:color="auto" w:sz="4" w:space="0"/>
            </w:tcBorders>
            <w:vAlign w:val="center"/>
          </w:tcPr>
          <w:p w14:paraId="2F170918">
            <w:pPr>
              <w:adjustRightInd w:val="0"/>
              <w:rPr>
                <w:rFonts w:hint="default" w:ascii="Times New Roman" w:hAnsi="Times New Roman" w:cs="Times New Roman"/>
                <w:b/>
                <w:bCs/>
                <w:sz w:val="24"/>
              </w:rPr>
            </w:pPr>
            <w:r>
              <w:rPr>
                <w:rFonts w:hint="default" w:ascii="Times New Roman" w:hAnsi="Times New Roman" w:eastAsia="宋体" w:cs="Times New Roman"/>
                <w:b/>
                <w:bCs/>
                <w:sz w:val="24"/>
              </w:rPr>
              <w:t>Cited Times</w:t>
            </w:r>
          </w:p>
        </w:tc>
        <w:tc>
          <w:tcPr>
            <w:tcW w:w="1704" w:type="dxa"/>
            <w:tcBorders>
              <w:top w:val="single" w:color="auto" w:sz="4" w:space="0"/>
              <w:bottom w:val="single" w:color="auto" w:sz="4" w:space="0"/>
            </w:tcBorders>
            <w:vAlign w:val="center"/>
          </w:tcPr>
          <w:p w14:paraId="56ECBA57">
            <w:pPr>
              <w:adjustRightInd w:val="0"/>
              <w:rPr>
                <w:rFonts w:hint="default" w:ascii="Times New Roman" w:hAnsi="Times New Roman" w:cs="Times New Roman"/>
                <w:b/>
                <w:bCs/>
                <w:sz w:val="24"/>
              </w:rPr>
            </w:pPr>
            <w:r>
              <w:rPr>
                <w:rFonts w:hint="default" w:ascii="Times New Roman" w:hAnsi="Times New Roman" w:eastAsia="宋体" w:cs="Times New Roman"/>
                <w:b/>
                <w:bCs/>
                <w:sz w:val="24"/>
              </w:rPr>
              <w:t>Centrality</w:t>
            </w:r>
          </w:p>
        </w:tc>
        <w:tc>
          <w:tcPr>
            <w:tcW w:w="1435" w:type="dxa"/>
            <w:tcBorders>
              <w:top w:val="single" w:color="auto" w:sz="4" w:space="0"/>
              <w:bottom w:val="single" w:color="auto" w:sz="4" w:space="0"/>
            </w:tcBorders>
            <w:vAlign w:val="center"/>
          </w:tcPr>
          <w:p w14:paraId="75DD2337">
            <w:pPr>
              <w:adjustRightInd w:val="0"/>
              <w:rPr>
                <w:rFonts w:hint="default" w:ascii="Times New Roman" w:hAnsi="Times New Roman" w:cs="Times New Roman"/>
                <w:b/>
                <w:bCs/>
                <w:sz w:val="24"/>
              </w:rPr>
            </w:pPr>
            <w:r>
              <w:rPr>
                <w:rFonts w:hint="default" w:ascii="Times New Roman" w:hAnsi="Times New Roman" w:eastAsia="宋体" w:cs="Times New Roman"/>
                <w:b/>
                <w:bCs/>
                <w:sz w:val="24"/>
              </w:rPr>
              <w:t>Year</w:t>
            </w:r>
          </w:p>
        </w:tc>
        <w:tc>
          <w:tcPr>
            <w:tcW w:w="2917" w:type="dxa"/>
            <w:tcBorders>
              <w:top w:val="single" w:color="auto" w:sz="4" w:space="0"/>
              <w:bottom w:val="single" w:color="auto" w:sz="4" w:space="0"/>
            </w:tcBorders>
            <w:vAlign w:val="center"/>
          </w:tcPr>
          <w:p w14:paraId="051BFF62">
            <w:pPr>
              <w:adjustRightInd w:val="0"/>
              <w:rPr>
                <w:rFonts w:hint="default" w:ascii="Times New Roman" w:hAnsi="Times New Roman" w:cs="Times New Roman"/>
                <w:b/>
                <w:bCs/>
                <w:sz w:val="24"/>
              </w:rPr>
            </w:pPr>
            <w:r>
              <w:rPr>
                <w:rFonts w:hint="default" w:ascii="Times New Roman" w:hAnsi="Times New Roman" w:eastAsia="宋体" w:cs="Times New Roman"/>
                <w:b/>
                <w:bCs/>
                <w:sz w:val="24"/>
              </w:rPr>
              <w:t>Cited Institution</w:t>
            </w:r>
          </w:p>
        </w:tc>
      </w:tr>
      <w:tr w14:paraId="4071E80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tcBorders>
              <w:top w:val="single" w:color="auto" w:sz="4" w:space="0"/>
            </w:tcBorders>
            <w:vAlign w:val="center"/>
          </w:tcPr>
          <w:p w14:paraId="1BC70F7D">
            <w:pPr>
              <w:adjustRightInd w:val="0"/>
              <w:rPr>
                <w:rFonts w:hint="default" w:ascii="Times New Roman" w:hAnsi="Times New Roman" w:cs="Times New Roman"/>
                <w:sz w:val="24"/>
              </w:rPr>
            </w:pPr>
            <w:r>
              <w:rPr>
                <w:rFonts w:hint="default" w:ascii="Times New Roman" w:hAnsi="Times New Roman" w:cs="Times New Roman"/>
                <w:sz w:val="24"/>
              </w:rPr>
              <w:t>124</w:t>
            </w:r>
          </w:p>
        </w:tc>
        <w:tc>
          <w:tcPr>
            <w:tcW w:w="1704" w:type="dxa"/>
            <w:tcBorders>
              <w:top w:val="single" w:color="auto" w:sz="4" w:space="0"/>
            </w:tcBorders>
            <w:vAlign w:val="center"/>
          </w:tcPr>
          <w:p w14:paraId="021ADDB8">
            <w:pPr>
              <w:adjustRightInd w:val="0"/>
              <w:rPr>
                <w:rFonts w:hint="default" w:ascii="Times New Roman" w:hAnsi="Times New Roman" w:cs="Times New Roman"/>
                <w:sz w:val="24"/>
              </w:rPr>
            </w:pPr>
            <w:r>
              <w:rPr>
                <w:rFonts w:hint="default" w:ascii="Times New Roman" w:hAnsi="Times New Roman" w:cs="Times New Roman"/>
                <w:sz w:val="24"/>
              </w:rPr>
              <w:t>0.02</w:t>
            </w:r>
          </w:p>
        </w:tc>
        <w:tc>
          <w:tcPr>
            <w:tcW w:w="1435" w:type="dxa"/>
            <w:tcBorders>
              <w:top w:val="single" w:color="auto" w:sz="4" w:space="0"/>
            </w:tcBorders>
            <w:vAlign w:val="center"/>
          </w:tcPr>
          <w:p w14:paraId="564FC688">
            <w:pPr>
              <w:adjustRightInd w:val="0"/>
              <w:rPr>
                <w:rFonts w:hint="default" w:ascii="Times New Roman" w:hAnsi="Times New Roman" w:cs="Times New Roman"/>
                <w:sz w:val="24"/>
              </w:rPr>
            </w:pPr>
            <w:r>
              <w:rPr>
                <w:rFonts w:hint="default" w:ascii="Times New Roman" w:hAnsi="Times New Roman" w:cs="Times New Roman"/>
                <w:sz w:val="24"/>
              </w:rPr>
              <w:t>2006</w:t>
            </w:r>
          </w:p>
        </w:tc>
        <w:tc>
          <w:tcPr>
            <w:tcW w:w="2917" w:type="dxa"/>
            <w:tcBorders>
              <w:top w:val="single" w:color="auto" w:sz="4" w:space="0"/>
            </w:tcBorders>
            <w:vAlign w:val="center"/>
          </w:tcPr>
          <w:p w14:paraId="514A0E2B">
            <w:pPr>
              <w:adjustRightInd w:val="0"/>
              <w:rPr>
                <w:rFonts w:hint="default" w:ascii="Times New Roman" w:hAnsi="Times New Roman" w:cs="Times New Roman"/>
                <w:sz w:val="24"/>
              </w:rPr>
            </w:pPr>
            <w:r>
              <w:rPr>
                <w:rFonts w:hint="default" w:ascii="Times New Roman" w:hAnsi="Times New Roman" w:cs="Times New Roman"/>
                <w:sz w:val="24"/>
              </w:rPr>
              <w:t>WATER RESOUR RES</w:t>
            </w:r>
          </w:p>
        </w:tc>
      </w:tr>
      <w:tr w14:paraId="260E174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4E58F072">
            <w:pPr>
              <w:adjustRightInd w:val="0"/>
              <w:rPr>
                <w:rFonts w:hint="default" w:ascii="Times New Roman" w:hAnsi="Times New Roman" w:cs="Times New Roman"/>
                <w:sz w:val="24"/>
              </w:rPr>
            </w:pPr>
            <w:r>
              <w:rPr>
                <w:rFonts w:hint="default" w:ascii="Times New Roman" w:hAnsi="Times New Roman" w:cs="Times New Roman"/>
                <w:sz w:val="24"/>
              </w:rPr>
              <w:t>124</w:t>
            </w:r>
          </w:p>
        </w:tc>
        <w:tc>
          <w:tcPr>
            <w:tcW w:w="1704" w:type="dxa"/>
            <w:vAlign w:val="center"/>
          </w:tcPr>
          <w:p w14:paraId="035E53F4">
            <w:pPr>
              <w:adjustRightInd w:val="0"/>
              <w:rPr>
                <w:rFonts w:hint="default" w:ascii="Times New Roman" w:hAnsi="Times New Roman" w:cs="Times New Roman"/>
                <w:sz w:val="24"/>
              </w:rPr>
            </w:pPr>
            <w:r>
              <w:rPr>
                <w:rFonts w:hint="default" w:ascii="Times New Roman" w:hAnsi="Times New Roman" w:cs="Times New Roman"/>
                <w:sz w:val="24"/>
              </w:rPr>
              <w:t>0.01</w:t>
            </w:r>
          </w:p>
        </w:tc>
        <w:tc>
          <w:tcPr>
            <w:tcW w:w="1435" w:type="dxa"/>
            <w:vAlign w:val="center"/>
          </w:tcPr>
          <w:p w14:paraId="3C800182">
            <w:pPr>
              <w:adjustRightInd w:val="0"/>
              <w:rPr>
                <w:rFonts w:hint="default" w:ascii="Times New Roman" w:hAnsi="Times New Roman" w:cs="Times New Roman"/>
                <w:sz w:val="24"/>
              </w:rPr>
            </w:pPr>
            <w:r>
              <w:rPr>
                <w:rFonts w:hint="default" w:ascii="Times New Roman" w:hAnsi="Times New Roman" w:cs="Times New Roman"/>
                <w:sz w:val="24"/>
              </w:rPr>
              <w:t>2006</w:t>
            </w:r>
          </w:p>
        </w:tc>
        <w:tc>
          <w:tcPr>
            <w:tcW w:w="2917" w:type="dxa"/>
            <w:vAlign w:val="center"/>
          </w:tcPr>
          <w:p w14:paraId="3D6B547F">
            <w:pPr>
              <w:adjustRightInd w:val="0"/>
              <w:rPr>
                <w:rFonts w:hint="default" w:ascii="Times New Roman" w:hAnsi="Times New Roman" w:cs="Times New Roman"/>
                <w:sz w:val="24"/>
              </w:rPr>
            </w:pPr>
            <w:r>
              <w:rPr>
                <w:rFonts w:hint="default" w:ascii="Times New Roman" w:hAnsi="Times New Roman" w:cs="Times New Roman"/>
                <w:sz w:val="24"/>
              </w:rPr>
              <w:t>J HYDROL</w:t>
            </w:r>
          </w:p>
        </w:tc>
      </w:tr>
      <w:tr w14:paraId="628CA1C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4A0F9461">
            <w:pPr>
              <w:adjustRightInd w:val="0"/>
              <w:rPr>
                <w:rFonts w:hint="default" w:ascii="Times New Roman" w:hAnsi="Times New Roman" w:cs="Times New Roman"/>
                <w:sz w:val="24"/>
              </w:rPr>
            </w:pPr>
            <w:r>
              <w:rPr>
                <w:rFonts w:hint="default" w:ascii="Times New Roman" w:hAnsi="Times New Roman" w:cs="Times New Roman"/>
                <w:sz w:val="24"/>
              </w:rPr>
              <w:t>123</w:t>
            </w:r>
          </w:p>
        </w:tc>
        <w:tc>
          <w:tcPr>
            <w:tcW w:w="1704" w:type="dxa"/>
            <w:vAlign w:val="center"/>
          </w:tcPr>
          <w:p w14:paraId="0CE5AF8F">
            <w:pPr>
              <w:adjustRightInd w:val="0"/>
              <w:rPr>
                <w:rFonts w:hint="default" w:ascii="Times New Roman" w:hAnsi="Times New Roman" w:cs="Times New Roman"/>
                <w:sz w:val="24"/>
              </w:rPr>
            </w:pPr>
            <w:r>
              <w:rPr>
                <w:rFonts w:hint="default" w:ascii="Times New Roman" w:hAnsi="Times New Roman" w:cs="Times New Roman"/>
                <w:sz w:val="24"/>
              </w:rPr>
              <w:t>0.01</w:t>
            </w:r>
          </w:p>
        </w:tc>
        <w:tc>
          <w:tcPr>
            <w:tcW w:w="1435" w:type="dxa"/>
            <w:vAlign w:val="center"/>
          </w:tcPr>
          <w:p w14:paraId="47DD1B56">
            <w:pPr>
              <w:adjustRightInd w:val="0"/>
              <w:rPr>
                <w:rFonts w:hint="default" w:ascii="Times New Roman" w:hAnsi="Times New Roman" w:cs="Times New Roman"/>
                <w:sz w:val="24"/>
              </w:rPr>
            </w:pPr>
            <w:r>
              <w:rPr>
                <w:rFonts w:hint="default" w:ascii="Times New Roman" w:hAnsi="Times New Roman" w:cs="Times New Roman"/>
                <w:sz w:val="24"/>
              </w:rPr>
              <w:t>2008</w:t>
            </w:r>
          </w:p>
        </w:tc>
        <w:tc>
          <w:tcPr>
            <w:tcW w:w="2917" w:type="dxa"/>
            <w:vAlign w:val="center"/>
          </w:tcPr>
          <w:p w14:paraId="4E601BD7">
            <w:pPr>
              <w:adjustRightInd w:val="0"/>
              <w:rPr>
                <w:rFonts w:hint="default" w:ascii="Times New Roman" w:hAnsi="Times New Roman" w:cs="Times New Roman"/>
                <w:sz w:val="24"/>
              </w:rPr>
            </w:pPr>
            <w:r>
              <w:rPr>
                <w:rFonts w:hint="default" w:ascii="Times New Roman" w:hAnsi="Times New Roman" w:cs="Times New Roman"/>
                <w:sz w:val="24"/>
              </w:rPr>
              <w:t>HYDROL EARTH SYST SC</w:t>
            </w:r>
          </w:p>
        </w:tc>
      </w:tr>
      <w:tr w14:paraId="293D9BC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53EC594A">
            <w:pPr>
              <w:adjustRightInd w:val="0"/>
              <w:rPr>
                <w:rFonts w:hint="default" w:ascii="Times New Roman" w:hAnsi="Times New Roman" w:cs="Times New Roman"/>
                <w:sz w:val="24"/>
              </w:rPr>
            </w:pPr>
            <w:r>
              <w:rPr>
                <w:rFonts w:hint="default" w:ascii="Times New Roman" w:hAnsi="Times New Roman" w:cs="Times New Roman"/>
                <w:sz w:val="24"/>
              </w:rPr>
              <w:t>112</w:t>
            </w:r>
          </w:p>
        </w:tc>
        <w:tc>
          <w:tcPr>
            <w:tcW w:w="1704" w:type="dxa"/>
            <w:vAlign w:val="center"/>
          </w:tcPr>
          <w:p w14:paraId="387AA80E">
            <w:pPr>
              <w:adjustRightInd w:val="0"/>
              <w:rPr>
                <w:rFonts w:hint="default" w:ascii="Times New Roman" w:hAnsi="Times New Roman" w:cs="Times New Roman"/>
                <w:sz w:val="24"/>
              </w:rPr>
            </w:pPr>
            <w:r>
              <w:rPr>
                <w:rFonts w:hint="default" w:ascii="Times New Roman" w:hAnsi="Times New Roman" w:cs="Times New Roman"/>
                <w:sz w:val="24"/>
              </w:rPr>
              <w:t>0.14</w:t>
            </w:r>
          </w:p>
        </w:tc>
        <w:tc>
          <w:tcPr>
            <w:tcW w:w="1435" w:type="dxa"/>
            <w:vAlign w:val="center"/>
          </w:tcPr>
          <w:p w14:paraId="67DA3781">
            <w:pPr>
              <w:adjustRightInd w:val="0"/>
              <w:rPr>
                <w:rFonts w:hint="default" w:ascii="Times New Roman" w:hAnsi="Times New Roman" w:cs="Times New Roman"/>
                <w:sz w:val="24"/>
              </w:rPr>
            </w:pPr>
            <w:r>
              <w:rPr>
                <w:rFonts w:hint="default" w:ascii="Times New Roman" w:hAnsi="Times New Roman" w:cs="Times New Roman"/>
                <w:sz w:val="24"/>
              </w:rPr>
              <w:t>2011</w:t>
            </w:r>
          </w:p>
        </w:tc>
        <w:tc>
          <w:tcPr>
            <w:tcW w:w="2917" w:type="dxa"/>
            <w:vAlign w:val="center"/>
          </w:tcPr>
          <w:p w14:paraId="322B83B0">
            <w:pPr>
              <w:adjustRightInd w:val="0"/>
              <w:rPr>
                <w:rFonts w:hint="default" w:ascii="Times New Roman" w:hAnsi="Times New Roman" w:cs="Times New Roman"/>
                <w:sz w:val="24"/>
              </w:rPr>
            </w:pPr>
            <w:r>
              <w:rPr>
                <w:rFonts w:hint="default" w:ascii="Times New Roman" w:hAnsi="Times New Roman" w:cs="Times New Roman"/>
                <w:sz w:val="24"/>
              </w:rPr>
              <w:t>P NATL ACAD SCI USA</w:t>
            </w:r>
          </w:p>
        </w:tc>
      </w:tr>
      <w:tr w14:paraId="2B546F0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58C1FA44">
            <w:pPr>
              <w:adjustRightInd w:val="0"/>
              <w:rPr>
                <w:rFonts w:hint="default" w:ascii="Times New Roman" w:hAnsi="Times New Roman" w:cs="Times New Roman"/>
                <w:sz w:val="24"/>
              </w:rPr>
            </w:pPr>
            <w:r>
              <w:rPr>
                <w:rFonts w:hint="default" w:ascii="Times New Roman" w:hAnsi="Times New Roman" w:cs="Times New Roman"/>
                <w:sz w:val="24"/>
              </w:rPr>
              <w:t>106</w:t>
            </w:r>
          </w:p>
        </w:tc>
        <w:tc>
          <w:tcPr>
            <w:tcW w:w="1704" w:type="dxa"/>
            <w:vAlign w:val="center"/>
          </w:tcPr>
          <w:p w14:paraId="7CB65411">
            <w:pPr>
              <w:adjustRightInd w:val="0"/>
              <w:rPr>
                <w:rFonts w:hint="default" w:ascii="Times New Roman" w:hAnsi="Times New Roman" w:cs="Times New Roman"/>
                <w:sz w:val="24"/>
              </w:rPr>
            </w:pPr>
            <w:r>
              <w:rPr>
                <w:rFonts w:hint="default" w:ascii="Times New Roman" w:hAnsi="Times New Roman" w:cs="Times New Roman"/>
                <w:sz w:val="24"/>
              </w:rPr>
              <w:t>0.10</w:t>
            </w:r>
          </w:p>
        </w:tc>
        <w:tc>
          <w:tcPr>
            <w:tcW w:w="1435" w:type="dxa"/>
            <w:vAlign w:val="center"/>
          </w:tcPr>
          <w:p w14:paraId="1D66B4B8">
            <w:pPr>
              <w:adjustRightInd w:val="0"/>
              <w:rPr>
                <w:rFonts w:hint="default" w:ascii="Times New Roman" w:hAnsi="Times New Roman" w:cs="Times New Roman"/>
                <w:sz w:val="24"/>
              </w:rPr>
            </w:pPr>
            <w:r>
              <w:rPr>
                <w:rFonts w:hint="default" w:ascii="Times New Roman" w:hAnsi="Times New Roman" w:cs="Times New Roman"/>
                <w:sz w:val="24"/>
              </w:rPr>
              <w:t>2006</w:t>
            </w:r>
          </w:p>
        </w:tc>
        <w:tc>
          <w:tcPr>
            <w:tcW w:w="2917" w:type="dxa"/>
            <w:vAlign w:val="center"/>
          </w:tcPr>
          <w:p w14:paraId="424BA7AC">
            <w:pPr>
              <w:adjustRightInd w:val="0"/>
              <w:rPr>
                <w:rFonts w:hint="default" w:ascii="Times New Roman" w:hAnsi="Times New Roman" w:cs="Times New Roman"/>
                <w:sz w:val="24"/>
              </w:rPr>
            </w:pPr>
            <w:r>
              <w:rPr>
                <w:rFonts w:hint="default" w:ascii="Times New Roman" w:hAnsi="Times New Roman" w:cs="Times New Roman"/>
                <w:sz w:val="24"/>
              </w:rPr>
              <w:t>NATURE</w:t>
            </w:r>
          </w:p>
        </w:tc>
      </w:tr>
      <w:tr w14:paraId="16B7ED4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48CF59AE">
            <w:pPr>
              <w:adjustRightInd w:val="0"/>
              <w:rPr>
                <w:rFonts w:hint="default" w:ascii="Times New Roman" w:hAnsi="Times New Roman" w:cs="Times New Roman"/>
                <w:sz w:val="24"/>
              </w:rPr>
            </w:pPr>
            <w:r>
              <w:rPr>
                <w:rFonts w:hint="default" w:ascii="Times New Roman" w:hAnsi="Times New Roman" w:cs="Times New Roman"/>
                <w:sz w:val="24"/>
              </w:rPr>
              <w:t>103</w:t>
            </w:r>
          </w:p>
        </w:tc>
        <w:tc>
          <w:tcPr>
            <w:tcW w:w="1704" w:type="dxa"/>
            <w:vAlign w:val="center"/>
          </w:tcPr>
          <w:p w14:paraId="70196BCA">
            <w:pPr>
              <w:adjustRightInd w:val="0"/>
              <w:rPr>
                <w:rFonts w:hint="default" w:ascii="Times New Roman" w:hAnsi="Times New Roman" w:cs="Times New Roman"/>
                <w:sz w:val="24"/>
              </w:rPr>
            </w:pPr>
            <w:r>
              <w:rPr>
                <w:rFonts w:hint="default" w:ascii="Times New Roman" w:hAnsi="Times New Roman" w:cs="Times New Roman"/>
                <w:sz w:val="24"/>
              </w:rPr>
              <w:t>0.01</w:t>
            </w:r>
          </w:p>
        </w:tc>
        <w:tc>
          <w:tcPr>
            <w:tcW w:w="1435" w:type="dxa"/>
            <w:vAlign w:val="center"/>
          </w:tcPr>
          <w:p w14:paraId="54B508D3">
            <w:pPr>
              <w:adjustRightInd w:val="0"/>
              <w:rPr>
                <w:rFonts w:hint="default" w:ascii="Times New Roman" w:hAnsi="Times New Roman" w:cs="Times New Roman"/>
                <w:sz w:val="24"/>
              </w:rPr>
            </w:pPr>
            <w:r>
              <w:rPr>
                <w:rFonts w:hint="default" w:ascii="Times New Roman" w:hAnsi="Times New Roman" w:cs="Times New Roman"/>
                <w:sz w:val="24"/>
              </w:rPr>
              <w:t>2006</w:t>
            </w:r>
          </w:p>
        </w:tc>
        <w:tc>
          <w:tcPr>
            <w:tcW w:w="2917" w:type="dxa"/>
            <w:vAlign w:val="center"/>
          </w:tcPr>
          <w:p w14:paraId="0ED9D52A">
            <w:pPr>
              <w:adjustRightInd w:val="0"/>
              <w:rPr>
                <w:rFonts w:hint="default" w:ascii="Times New Roman" w:hAnsi="Times New Roman" w:cs="Times New Roman"/>
                <w:sz w:val="24"/>
              </w:rPr>
            </w:pPr>
            <w:r>
              <w:rPr>
                <w:rFonts w:hint="default" w:ascii="Times New Roman" w:hAnsi="Times New Roman" w:cs="Times New Roman"/>
                <w:sz w:val="24"/>
              </w:rPr>
              <w:t>HYDROL PROCESS</w:t>
            </w:r>
          </w:p>
        </w:tc>
      </w:tr>
      <w:tr w14:paraId="3994F29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35A1A906">
            <w:pPr>
              <w:adjustRightInd w:val="0"/>
              <w:rPr>
                <w:rFonts w:hint="default" w:ascii="Times New Roman" w:hAnsi="Times New Roman" w:cs="Times New Roman"/>
                <w:sz w:val="24"/>
              </w:rPr>
            </w:pPr>
            <w:r>
              <w:rPr>
                <w:rFonts w:hint="default" w:ascii="Times New Roman" w:hAnsi="Times New Roman" w:cs="Times New Roman"/>
                <w:sz w:val="24"/>
              </w:rPr>
              <w:t>95</w:t>
            </w:r>
          </w:p>
        </w:tc>
        <w:tc>
          <w:tcPr>
            <w:tcW w:w="1704" w:type="dxa"/>
            <w:vAlign w:val="center"/>
          </w:tcPr>
          <w:p w14:paraId="581640F8">
            <w:pPr>
              <w:adjustRightInd w:val="0"/>
              <w:rPr>
                <w:rFonts w:hint="default" w:ascii="Times New Roman" w:hAnsi="Times New Roman" w:cs="Times New Roman"/>
                <w:sz w:val="24"/>
              </w:rPr>
            </w:pPr>
            <w:r>
              <w:rPr>
                <w:rFonts w:hint="default" w:ascii="Times New Roman" w:hAnsi="Times New Roman" w:cs="Times New Roman"/>
                <w:sz w:val="24"/>
              </w:rPr>
              <w:t>0.31</w:t>
            </w:r>
          </w:p>
        </w:tc>
        <w:tc>
          <w:tcPr>
            <w:tcW w:w="1435" w:type="dxa"/>
            <w:vAlign w:val="center"/>
          </w:tcPr>
          <w:p w14:paraId="62F96252">
            <w:pPr>
              <w:adjustRightInd w:val="0"/>
              <w:rPr>
                <w:rFonts w:hint="default" w:ascii="Times New Roman" w:hAnsi="Times New Roman" w:cs="Times New Roman"/>
                <w:sz w:val="24"/>
              </w:rPr>
            </w:pPr>
            <w:r>
              <w:rPr>
                <w:rFonts w:hint="default" w:ascii="Times New Roman" w:hAnsi="Times New Roman" w:cs="Times New Roman"/>
                <w:sz w:val="24"/>
              </w:rPr>
              <w:t>2007</w:t>
            </w:r>
          </w:p>
        </w:tc>
        <w:tc>
          <w:tcPr>
            <w:tcW w:w="2917" w:type="dxa"/>
            <w:vAlign w:val="center"/>
          </w:tcPr>
          <w:p w14:paraId="035380EB">
            <w:pPr>
              <w:adjustRightInd w:val="0"/>
              <w:rPr>
                <w:rFonts w:hint="default" w:ascii="Times New Roman" w:hAnsi="Times New Roman" w:cs="Times New Roman"/>
                <w:sz w:val="24"/>
              </w:rPr>
            </w:pPr>
            <w:r>
              <w:rPr>
                <w:rFonts w:hint="default" w:ascii="Times New Roman" w:hAnsi="Times New Roman" w:cs="Times New Roman"/>
                <w:sz w:val="24"/>
              </w:rPr>
              <w:t>SCIENCE</w:t>
            </w:r>
          </w:p>
        </w:tc>
      </w:tr>
      <w:tr w14:paraId="7CB553D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1F3A3E72">
            <w:pPr>
              <w:adjustRightInd w:val="0"/>
              <w:rPr>
                <w:rFonts w:hint="default" w:ascii="Times New Roman" w:hAnsi="Times New Roman" w:cs="Times New Roman"/>
                <w:sz w:val="24"/>
              </w:rPr>
            </w:pPr>
            <w:r>
              <w:rPr>
                <w:rFonts w:hint="default" w:ascii="Times New Roman" w:hAnsi="Times New Roman" w:cs="Times New Roman"/>
                <w:sz w:val="24"/>
              </w:rPr>
              <w:t>92</w:t>
            </w:r>
          </w:p>
        </w:tc>
        <w:tc>
          <w:tcPr>
            <w:tcW w:w="1704" w:type="dxa"/>
            <w:vAlign w:val="center"/>
          </w:tcPr>
          <w:p w14:paraId="072AB365">
            <w:pPr>
              <w:adjustRightInd w:val="0"/>
              <w:rPr>
                <w:rFonts w:hint="default" w:ascii="Times New Roman" w:hAnsi="Times New Roman" w:cs="Times New Roman"/>
                <w:sz w:val="24"/>
              </w:rPr>
            </w:pPr>
            <w:r>
              <w:rPr>
                <w:rFonts w:hint="default" w:ascii="Times New Roman" w:hAnsi="Times New Roman" w:cs="Times New Roman"/>
                <w:sz w:val="24"/>
              </w:rPr>
              <w:t>0.01</w:t>
            </w:r>
          </w:p>
        </w:tc>
        <w:tc>
          <w:tcPr>
            <w:tcW w:w="1435" w:type="dxa"/>
            <w:vAlign w:val="center"/>
          </w:tcPr>
          <w:p w14:paraId="24F6480B">
            <w:pPr>
              <w:adjustRightInd w:val="0"/>
              <w:rPr>
                <w:rFonts w:hint="default" w:ascii="Times New Roman" w:hAnsi="Times New Roman" w:cs="Times New Roman"/>
                <w:sz w:val="24"/>
              </w:rPr>
            </w:pPr>
            <w:r>
              <w:rPr>
                <w:rFonts w:hint="default" w:ascii="Times New Roman" w:hAnsi="Times New Roman" w:cs="Times New Roman"/>
                <w:sz w:val="24"/>
              </w:rPr>
              <w:t>2008</w:t>
            </w:r>
          </w:p>
        </w:tc>
        <w:tc>
          <w:tcPr>
            <w:tcW w:w="2917" w:type="dxa"/>
            <w:vAlign w:val="center"/>
          </w:tcPr>
          <w:p w14:paraId="5A569E6B">
            <w:pPr>
              <w:adjustRightInd w:val="0"/>
              <w:rPr>
                <w:rFonts w:hint="default" w:ascii="Times New Roman" w:hAnsi="Times New Roman" w:cs="Times New Roman"/>
                <w:sz w:val="24"/>
              </w:rPr>
            </w:pPr>
            <w:r>
              <w:rPr>
                <w:rFonts w:hint="default" w:ascii="Times New Roman" w:hAnsi="Times New Roman" w:cs="Times New Roman"/>
                <w:sz w:val="24"/>
              </w:rPr>
              <w:t>HYDROLOG SCI J</w:t>
            </w:r>
          </w:p>
        </w:tc>
      </w:tr>
      <w:tr w14:paraId="79D451C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5CB0D529">
            <w:pPr>
              <w:adjustRightInd w:val="0"/>
              <w:rPr>
                <w:rFonts w:hint="default" w:ascii="Times New Roman" w:hAnsi="Times New Roman" w:cs="Times New Roman"/>
                <w:sz w:val="24"/>
              </w:rPr>
            </w:pPr>
            <w:r>
              <w:rPr>
                <w:rFonts w:hint="default" w:ascii="Times New Roman" w:hAnsi="Times New Roman" w:cs="Times New Roman"/>
                <w:sz w:val="24"/>
              </w:rPr>
              <w:t>69</w:t>
            </w:r>
          </w:p>
        </w:tc>
        <w:tc>
          <w:tcPr>
            <w:tcW w:w="1704" w:type="dxa"/>
            <w:vAlign w:val="center"/>
          </w:tcPr>
          <w:p w14:paraId="206989D0">
            <w:pPr>
              <w:adjustRightInd w:val="0"/>
              <w:rPr>
                <w:rFonts w:hint="default" w:ascii="Times New Roman" w:hAnsi="Times New Roman" w:cs="Times New Roman"/>
                <w:sz w:val="24"/>
              </w:rPr>
            </w:pPr>
            <w:r>
              <w:rPr>
                <w:rFonts w:hint="default" w:ascii="Times New Roman" w:hAnsi="Times New Roman" w:cs="Times New Roman"/>
                <w:sz w:val="24"/>
              </w:rPr>
              <w:t>0.08</w:t>
            </w:r>
          </w:p>
        </w:tc>
        <w:tc>
          <w:tcPr>
            <w:tcW w:w="1435" w:type="dxa"/>
            <w:vAlign w:val="center"/>
          </w:tcPr>
          <w:p w14:paraId="574BE318">
            <w:pPr>
              <w:adjustRightInd w:val="0"/>
              <w:rPr>
                <w:rFonts w:hint="default" w:ascii="Times New Roman" w:hAnsi="Times New Roman" w:cs="Times New Roman"/>
                <w:sz w:val="24"/>
              </w:rPr>
            </w:pPr>
            <w:r>
              <w:rPr>
                <w:rFonts w:hint="default" w:ascii="Times New Roman" w:hAnsi="Times New Roman" w:cs="Times New Roman"/>
                <w:sz w:val="24"/>
              </w:rPr>
              <w:t>2006</w:t>
            </w:r>
          </w:p>
        </w:tc>
        <w:tc>
          <w:tcPr>
            <w:tcW w:w="2917" w:type="dxa"/>
            <w:vAlign w:val="center"/>
          </w:tcPr>
          <w:p w14:paraId="3574D0E5">
            <w:pPr>
              <w:adjustRightInd w:val="0"/>
              <w:rPr>
                <w:rFonts w:hint="default" w:ascii="Times New Roman" w:hAnsi="Times New Roman" w:cs="Times New Roman"/>
                <w:sz w:val="24"/>
              </w:rPr>
            </w:pPr>
            <w:r>
              <w:rPr>
                <w:rFonts w:hint="default" w:ascii="Times New Roman" w:hAnsi="Times New Roman" w:cs="Times New Roman"/>
                <w:sz w:val="24"/>
              </w:rPr>
              <w:t>ARCH PHYS MED REHAB</w:t>
            </w:r>
          </w:p>
        </w:tc>
      </w:tr>
      <w:tr w14:paraId="3A6629D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4" w:type="dxa"/>
            <w:vAlign w:val="center"/>
          </w:tcPr>
          <w:p w14:paraId="3BF6741F">
            <w:pPr>
              <w:adjustRightInd w:val="0"/>
              <w:rPr>
                <w:rFonts w:hint="default" w:ascii="Times New Roman" w:hAnsi="Times New Roman" w:cs="Times New Roman"/>
                <w:sz w:val="24"/>
              </w:rPr>
            </w:pPr>
            <w:r>
              <w:rPr>
                <w:rFonts w:hint="default" w:ascii="Times New Roman" w:hAnsi="Times New Roman" w:cs="Times New Roman"/>
                <w:sz w:val="24"/>
              </w:rPr>
              <w:t>65</w:t>
            </w:r>
          </w:p>
        </w:tc>
        <w:tc>
          <w:tcPr>
            <w:tcW w:w="1704" w:type="dxa"/>
            <w:vAlign w:val="center"/>
          </w:tcPr>
          <w:p w14:paraId="69A61A68">
            <w:pPr>
              <w:adjustRightInd w:val="0"/>
              <w:rPr>
                <w:rFonts w:hint="default" w:ascii="Times New Roman" w:hAnsi="Times New Roman" w:cs="Times New Roman"/>
                <w:sz w:val="24"/>
              </w:rPr>
            </w:pPr>
            <w:r>
              <w:rPr>
                <w:rFonts w:hint="default" w:ascii="Times New Roman" w:hAnsi="Times New Roman" w:cs="Times New Roman"/>
                <w:sz w:val="24"/>
              </w:rPr>
              <w:t>0.04</w:t>
            </w:r>
          </w:p>
        </w:tc>
        <w:tc>
          <w:tcPr>
            <w:tcW w:w="1435" w:type="dxa"/>
            <w:vAlign w:val="center"/>
          </w:tcPr>
          <w:p w14:paraId="66984057">
            <w:pPr>
              <w:adjustRightInd w:val="0"/>
              <w:rPr>
                <w:rFonts w:hint="default" w:ascii="Times New Roman" w:hAnsi="Times New Roman" w:cs="Times New Roman"/>
                <w:sz w:val="24"/>
              </w:rPr>
            </w:pPr>
            <w:r>
              <w:rPr>
                <w:rFonts w:hint="default" w:ascii="Times New Roman" w:hAnsi="Times New Roman" w:cs="Times New Roman"/>
                <w:sz w:val="24"/>
              </w:rPr>
              <w:t>2008</w:t>
            </w:r>
          </w:p>
        </w:tc>
        <w:tc>
          <w:tcPr>
            <w:tcW w:w="2917" w:type="dxa"/>
            <w:vAlign w:val="center"/>
          </w:tcPr>
          <w:p w14:paraId="607619DE">
            <w:pPr>
              <w:adjustRightInd w:val="0"/>
              <w:rPr>
                <w:rFonts w:hint="default" w:ascii="Times New Roman" w:hAnsi="Times New Roman" w:cs="Times New Roman"/>
                <w:sz w:val="24"/>
              </w:rPr>
            </w:pPr>
            <w:r>
              <w:rPr>
                <w:rFonts w:hint="default" w:ascii="Times New Roman" w:hAnsi="Times New Roman" w:cs="Times New Roman"/>
                <w:sz w:val="24"/>
              </w:rPr>
              <w:t>GEOPHYS RES LETT</w:t>
            </w:r>
          </w:p>
        </w:tc>
      </w:tr>
    </w:tbl>
    <w:p w14:paraId="7BE2CA01">
      <w:pPr>
        <w:rPr>
          <w:rFonts w:hint="default" w:ascii="Times New Roman" w:hAnsi="Times New Roman" w:cs="Times New Roman"/>
          <w:szCs w:val="24"/>
        </w:rPr>
      </w:pPr>
    </w:p>
    <w:p w14:paraId="339B9110">
      <w:pPr>
        <w:pStyle w:val="3"/>
        <w:numPr>
          <w:ilvl w:val="1"/>
          <w:numId w:val="2"/>
        </w:numPr>
        <w:ind w:left="283" w:leftChars="0" w:hanging="283" w:firstLineChars="0"/>
        <w:rPr>
          <w:rFonts w:hint="default" w:ascii="Times New Roman" w:hAnsi="Times New Roman" w:cs="Times New Roman"/>
        </w:rPr>
      </w:pPr>
      <w:r>
        <w:rPr>
          <w:rFonts w:hint="default" w:ascii="Times New Roman" w:hAnsi="Times New Roman" w:cs="Times New Roman"/>
        </w:rPr>
        <w:t>Cluster Analysis of Research Hotspots</w:t>
      </w:r>
    </w:p>
    <w:p w14:paraId="0F150136">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Keywords serve as key indicators of the research hotspots and trends within a specific field. By ranking keywords based on their frequency, scholars can gain a deeper understanding of the central topics and the most influential terms within the field. In this study, we used CiteSpace 6.2.R6 to analyze the extracted literature, selecting the "keywords" option in the node type column, with the time frame set from 2006 to 2023. The resulting country collaboration map is shown in Table 6.</w:t>
      </w:r>
    </w:p>
    <w:p w14:paraId="062190DB">
      <w:pPr>
        <w:tabs>
          <w:tab w:val="left" w:pos="1974"/>
        </w:tabs>
        <w:adjustRightInd w:val="0"/>
        <w:ind w:firstLine="241" w:firstLineChars="100"/>
        <w:jc w:val="center"/>
        <w:rPr>
          <w:rFonts w:hint="default" w:ascii="Times New Roman" w:hAnsi="Times New Roman" w:eastAsia="楷体" w:cs="Times New Roman"/>
          <w:sz w:val="24"/>
        </w:rPr>
      </w:pPr>
      <w:r>
        <w:rPr>
          <w:rFonts w:hint="default" w:ascii="Times New Roman" w:hAnsi="Times New Roman" w:eastAsia="楷体" w:cs="Times New Roman"/>
          <w:b/>
          <w:bCs/>
          <w:sz w:val="24"/>
        </w:rPr>
        <w:t>Table 6.</w:t>
      </w:r>
      <w:r>
        <w:rPr>
          <w:rFonts w:hint="default" w:ascii="Times New Roman" w:hAnsi="Times New Roman" w:eastAsia="楷体" w:cs="Times New Roman"/>
          <w:sz w:val="24"/>
        </w:rPr>
        <w:t xml:space="preserve"> Centrality and Frequency Statistics of High</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Frequency Keywords in International IAHS Research from 2006 to 2023</w:t>
      </w:r>
    </w:p>
    <w:tbl>
      <w:tblPr>
        <w:tblStyle w:val="20"/>
        <w:tblW w:w="920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30"/>
        <w:gridCol w:w="2130"/>
        <w:gridCol w:w="2131"/>
        <w:gridCol w:w="2811"/>
      </w:tblGrid>
      <w:tr w14:paraId="7D2DCA6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tcBorders>
              <w:top w:val="single" w:color="auto" w:sz="4" w:space="0"/>
              <w:bottom w:val="single" w:color="auto" w:sz="4" w:space="0"/>
            </w:tcBorders>
            <w:vAlign w:val="center"/>
          </w:tcPr>
          <w:p w14:paraId="0EF98889">
            <w:pPr>
              <w:adjustRightInd w:val="0"/>
              <w:rPr>
                <w:rFonts w:hint="default" w:ascii="Times New Roman" w:hAnsi="Times New Roman" w:cs="Times New Roman"/>
                <w:b/>
                <w:bCs/>
                <w:sz w:val="24"/>
              </w:rPr>
            </w:pPr>
            <w:r>
              <w:rPr>
                <w:rFonts w:hint="default" w:ascii="Times New Roman" w:hAnsi="Times New Roman" w:eastAsia="宋体" w:cs="Times New Roman"/>
                <w:b/>
                <w:bCs/>
                <w:sz w:val="24"/>
              </w:rPr>
              <w:t>No.</w:t>
            </w:r>
          </w:p>
        </w:tc>
        <w:tc>
          <w:tcPr>
            <w:tcW w:w="2130" w:type="dxa"/>
            <w:tcBorders>
              <w:top w:val="single" w:color="auto" w:sz="4" w:space="0"/>
              <w:bottom w:val="single" w:color="auto" w:sz="4" w:space="0"/>
            </w:tcBorders>
            <w:vAlign w:val="center"/>
          </w:tcPr>
          <w:p w14:paraId="324D5317">
            <w:pPr>
              <w:adjustRightInd w:val="0"/>
              <w:rPr>
                <w:rFonts w:hint="default" w:ascii="Times New Roman" w:hAnsi="Times New Roman" w:cs="Times New Roman"/>
                <w:b/>
                <w:bCs/>
                <w:sz w:val="24"/>
              </w:rPr>
            </w:pPr>
            <w:r>
              <w:rPr>
                <w:rFonts w:hint="default" w:ascii="Times New Roman" w:hAnsi="Times New Roman" w:eastAsia="宋体" w:cs="Times New Roman"/>
                <w:b/>
                <w:bCs/>
                <w:sz w:val="24"/>
              </w:rPr>
              <w:t>Frequency</w:t>
            </w:r>
          </w:p>
        </w:tc>
        <w:tc>
          <w:tcPr>
            <w:tcW w:w="2131" w:type="dxa"/>
            <w:tcBorders>
              <w:top w:val="single" w:color="auto" w:sz="4" w:space="0"/>
              <w:bottom w:val="single" w:color="auto" w:sz="4" w:space="0"/>
            </w:tcBorders>
            <w:vAlign w:val="center"/>
          </w:tcPr>
          <w:p w14:paraId="27AFC0EE">
            <w:pPr>
              <w:adjustRightInd w:val="0"/>
              <w:rPr>
                <w:rFonts w:hint="default" w:ascii="Times New Roman" w:hAnsi="Times New Roman" w:cs="Times New Roman"/>
                <w:b/>
                <w:bCs/>
                <w:sz w:val="24"/>
              </w:rPr>
            </w:pPr>
            <w:r>
              <w:rPr>
                <w:rFonts w:hint="default" w:ascii="Times New Roman" w:hAnsi="Times New Roman" w:eastAsia="宋体" w:cs="Times New Roman"/>
                <w:b/>
                <w:bCs/>
                <w:sz w:val="24"/>
              </w:rPr>
              <w:t>Centrality</w:t>
            </w:r>
          </w:p>
        </w:tc>
        <w:tc>
          <w:tcPr>
            <w:tcW w:w="2811" w:type="dxa"/>
            <w:tcBorders>
              <w:top w:val="single" w:color="auto" w:sz="4" w:space="0"/>
              <w:bottom w:val="single" w:color="auto" w:sz="4" w:space="0"/>
            </w:tcBorders>
            <w:vAlign w:val="center"/>
          </w:tcPr>
          <w:p w14:paraId="74AB6111">
            <w:pPr>
              <w:adjustRightInd w:val="0"/>
              <w:rPr>
                <w:rFonts w:hint="default" w:ascii="Times New Roman" w:hAnsi="Times New Roman" w:cs="Times New Roman"/>
                <w:b/>
                <w:bCs/>
                <w:sz w:val="24"/>
              </w:rPr>
            </w:pPr>
            <w:r>
              <w:rPr>
                <w:rFonts w:hint="default" w:ascii="Times New Roman" w:hAnsi="Times New Roman" w:eastAsia="宋体" w:cs="Times New Roman"/>
                <w:b/>
                <w:bCs/>
                <w:sz w:val="24"/>
              </w:rPr>
              <w:t>Keyword</w:t>
            </w:r>
          </w:p>
        </w:tc>
      </w:tr>
      <w:tr w14:paraId="4CA82B0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tcBorders>
              <w:top w:val="single" w:color="auto" w:sz="4" w:space="0"/>
            </w:tcBorders>
            <w:vAlign w:val="center"/>
          </w:tcPr>
          <w:p w14:paraId="494573EA">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w:t>
            </w:r>
          </w:p>
        </w:tc>
        <w:tc>
          <w:tcPr>
            <w:tcW w:w="2130" w:type="dxa"/>
            <w:tcBorders>
              <w:top w:val="single" w:color="auto" w:sz="4" w:space="0"/>
            </w:tcBorders>
            <w:vAlign w:val="center"/>
          </w:tcPr>
          <w:p w14:paraId="6042BA1B">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43</w:t>
            </w:r>
          </w:p>
        </w:tc>
        <w:tc>
          <w:tcPr>
            <w:tcW w:w="2131" w:type="dxa"/>
            <w:tcBorders>
              <w:top w:val="single" w:color="auto" w:sz="4" w:space="0"/>
            </w:tcBorders>
            <w:vAlign w:val="center"/>
          </w:tcPr>
          <w:p w14:paraId="58FC1DF2">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0.46</w:t>
            </w:r>
          </w:p>
        </w:tc>
        <w:tc>
          <w:tcPr>
            <w:tcW w:w="2811" w:type="dxa"/>
            <w:tcBorders>
              <w:top w:val="single" w:color="auto" w:sz="4" w:space="0"/>
            </w:tcBorders>
            <w:vAlign w:val="center"/>
          </w:tcPr>
          <w:p w14:paraId="0A7CFE6F">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impact</w:t>
            </w:r>
          </w:p>
        </w:tc>
      </w:tr>
      <w:tr w14:paraId="6B14431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3BA6C4DB">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2</w:t>
            </w:r>
          </w:p>
        </w:tc>
        <w:tc>
          <w:tcPr>
            <w:tcW w:w="2130" w:type="dxa"/>
            <w:vAlign w:val="center"/>
          </w:tcPr>
          <w:p w14:paraId="6DDD8422">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41</w:t>
            </w:r>
          </w:p>
        </w:tc>
        <w:tc>
          <w:tcPr>
            <w:tcW w:w="2131" w:type="dxa"/>
            <w:vAlign w:val="center"/>
          </w:tcPr>
          <w:p w14:paraId="45341848">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0.13</w:t>
            </w:r>
          </w:p>
        </w:tc>
        <w:tc>
          <w:tcPr>
            <w:tcW w:w="2811" w:type="dxa"/>
            <w:vAlign w:val="center"/>
          </w:tcPr>
          <w:p w14:paraId="23C2591F">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climate change</w:t>
            </w:r>
          </w:p>
        </w:tc>
      </w:tr>
      <w:tr w14:paraId="29AD0AC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70BD3A3F">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4</w:t>
            </w:r>
          </w:p>
        </w:tc>
        <w:tc>
          <w:tcPr>
            <w:tcW w:w="2130" w:type="dxa"/>
            <w:vAlign w:val="center"/>
          </w:tcPr>
          <w:p w14:paraId="1B54EB4D">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36</w:t>
            </w:r>
          </w:p>
        </w:tc>
        <w:tc>
          <w:tcPr>
            <w:tcW w:w="2131" w:type="dxa"/>
            <w:vAlign w:val="center"/>
          </w:tcPr>
          <w:p w14:paraId="50C8784E">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0.26</w:t>
            </w:r>
          </w:p>
        </w:tc>
        <w:tc>
          <w:tcPr>
            <w:tcW w:w="2811" w:type="dxa"/>
            <w:vAlign w:val="center"/>
          </w:tcPr>
          <w:p w14:paraId="2D63A363">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management</w:t>
            </w:r>
          </w:p>
        </w:tc>
      </w:tr>
      <w:tr w14:paraId="64ED08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360053A5">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4</w:t>
            </w:r>
          </w:p>
        </w:tc>
        <w:tc>
          <w:tcPr>
            <w:tcW w:w="2130" w:type="dxa"/>
            <w:vAlign w:val="center"/>
          </w:tcPr>
          <w:p w14:paraId="25180097">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29</w:t>
            </w:r>
          </w:p>
        </w:tc>
        <w:tc>
          <w:tcPr>
            <w:tcW w:w="2131" w:type="dxa"/>
            <w:vAlign w:val="center"/>
          </w:tcPr>
          <w:p w14:paraId="61261BF3">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0.03</w:t>
            </w:r>
          </w:p>
        </w:tc>
        <w:tc>
          <w:tcPr>
            <w:tcW w:w="2811" w:type="dxa"/>
            <w:vAlign w:val="center"/>
          </w:tcPr>
          <w:p w14:paraId="0168E545">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GIAHS</w:t>
            </w:r>
          </w:p>
        </w:tc>
      </w:tr>
      <w:tr w14:paraId="364E9D8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6AC30AAC">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5</w:t>
            </w:r>
          </w:p>
        </w:tc>
        <w:tc>
          <w:tcPr>
            <w:tcW w:w="2130" w:type="dxa"/>
            <w:vAlign w:val="center"/>
          </w:tcPr>
          <w:p w14:paraId="391CD1FB">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23</w:t>
            </w:r>
          </w:p>
        </w:tc>
        <w:tc>
          <w:tcPr>
            <w:tcW w:w="2131" w:type="dxa"/>
            <w:vAlign w:val="center"/>
          </w:tcPr>
          <w:p w14:paraId="7205518F">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0.24</w:t>
            </w:r>
          </w:p>
        </w:tc>
        <w:tc>
          <w:tcPr>
            <w:tcW w:w="2811" w:type="dxa"/>
            <w:vAlign w:val="center"/>
          </w:tcPr>
          <w:p w14:paraId="185A4ACC">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model</w:t>
            </w:r>
          </w:p>
        </w:tc>
      </w:tr>
      <w:tr w14:paraId="70A22D1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1A823BCD">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6</w:t>
            </w:r>
          </w:p>
        </w:tc>
        <w:tc>
          <w:tcPr>
            <w:tcW w:w="2130" w:type="dxa"/>
            <w:vAlign w:val="center"/>
          </w:tcPr>
          <w:p w14:paraId="04C5E296">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22</w:t>
            </w:r>
          </w:p>
        </w:tc>
        <w:tc>
          <w:tcPr>
            <w:tcW w:w="2131" w:type="dxa"/>
            <w:vAlign w:val="center"/>
          </w:tcPr>
          <w:p w14:paraId="1762C7DA">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0.32</w:t>
            </w:r>
          </w:p>
        </w:tc>
        <w:tc>
          <w:tcPr>
            <w:tcW w:w="2811" w:type="dxa"/>
            <w:vAlign w:val="center"/>
          </w:tcPr>
          <w:p w14:paraId="0D124E5B">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System</w:t>
            </w:r>
          </w:p>
        </w:tc>
      </w:tr>
      <w:tr w14:paraId="165F8DD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7BA62863">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7</w:t>
            </w:r>
          </w:p>
        </w:tc>
        <w:tc>
          <w:tcPr>
            <w:tcW w:w="2130" w:type="dxa"/>
            <w:vAlign w:val="center"/>
          </w:tcPr>
          <w:p w14:paraId="09D7C34A">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20</w:t>
            </w:r>
          </w:p>
        </w:tc>
        <w:tc>
          <w:tcPr>
            <w:tcW w:w="2131" w:type="dxa"/>
            <w:vAlign w:val="center"/>
          </w:tcPr>
          <w:p w14:paraId="15405EAB">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0.06</w:t>
            </w:r>
          </w:p>
        </w:tc>
        <w:tc>
          <w:tcPr>
            <w:tcW w:w="2811" w:type="dxa"/>
            <w:vAlign w:val="center"/>
          </w:tcPr>
          <w:p w14:paraId="5DA7C066">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landscape</w:t>
            </w:r>
          </w:p>
        </w:tc>
      </w:tr>
      <w:tr w14:paraId="1CBB5EB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020E058E">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8</w:t>
            </w:r>
          </w:p>
        </w:tc>
        <w:tc>
          <w:tcPr>
            <w:tcW w:w="2130" w:type="dxa"/>
            <w:vAlign w:val="center"/>
          </w:tcPr>
          <w:p w14:paraId="7769170E">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16</w:t>
            </w:r>
          </w:p>
        </w:tc>
        <w:tc>
          <w:tcPr>
            <w:tcW w:w="2131" w:type="dxa"/>
            <w:vAlign w:val="center"/>
          </w:tcPr>
          <w:p w14:paraId="1DC345EB">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0.07</w:t>
            </w:r>
          </w:p>
        </w:tc>
        <w:tc>
          <w:tcPr>
            <w:tcW w:w="2811" w:type="dxa"/>
            <w:vAlign w:val="center"/>
          </w:tcPr>
          <w:p w14:paraId="3B3B0676">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Sustainability</w:t>
            </w:r>
          </w:p>
        </w:tc>
      </w:tr>
      <w:tr w14:paraId="70E1049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33E8ADE4">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9</w:t>
            </w:r>
          </w:p>
        </w:tc>
        <w:tc>
          <w:tcPr>
            <w:tcW w:w="2130" w:type="dxa"/>
            <w:vAlign w:val="center"/>
          </w:tcPr>
          <w:p w14:paraId="2A2F4C0E">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16</w:t>
            </w:r>
          </w:p>
        </w:tc>
        <w:tc>
          <w:tcPr>
            <w:tcW w:w="2131" w:type="dxa"/>
            <w:vAlign w:val="center"/>
          </w:tcPr>
          <w:p w14:paraId="74C4D67D">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0.19</w:t>
            </w:r>
          </w:p>
        </w:tc>
        <w:tc>
          <w:tcPr>
            <w:tcW w:w="2811" w:type="dxa"/>
            <w:vAlign w:val="center"/>
          </w:tcPr>
          <w:p w14:paraId="74A6E9DE">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reliability</w:t>
            </w:r>
          </w:p>
        </w:tc>
      </w:tr>
      <w:tr w14:paraId="30A471F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1E64F9E5">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10</w:t>
            </w:r>
          </w:p>
        </w:tc>
        <w:tc>
          <w:tcPr>
            <w:tcW w:w="2130" w:type="dxa"/>
            <w:vAlign w:val="center"/>
          </w:tcPr>
          <w:p w14:paraId="2183C38A">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16</w:t>
            </w:r>
          </w:p>
        </w:tc>
        <w:tc>
          <w:tcPr>
            <w:tcW w:w="2131" w:type="dxa"/>
            <w:vAlign w:val="center"/>
          </w:tcPr>
          <w:p w14:paraId="04C8830D">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0.12</w:t>
            </w:r>
          </w:p>
        </w:tc>
        <w:tc>
          <w:tcPr>
            <w:tcW w:w="2811" w:type="dxa"/>
            <w:vAlign w:val="center"/>
          </w:tcPr>
          <w:p w14:paraId="442F896E">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rehabilitation</w:t>
            </w:r>
          </w:p>
        </w:tc>
      </w:tr>
      <w:tr w14:paraId="5FFBDE2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503C7257">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11</w:t>
            </w:r>
          </w:p>
        </w:tc>
        <w:tc>
          <w:tcPr>
            <w:tcW w:w="2130" w:type="dxa"/>
            <w:vAlign w:val="center"/>
          </w:tcPr>
          <w:p w14:paraId="7115DBBB">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16</w:t>
            </w:r>
          </w:p>
        </w:tc>
        <w:tc>
          <w:tcPr>
            <w:tcW w:w="2131" w:type="dxa"/>
            <w:vAlign w:val="center"/>
          </w:tcPr>
          <w:p w14:paraId="14DAC6D7">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0.09</w:t>
            </w:r>
          </w:p>
        </w:tc>
        <w:tc>
          <w:tcPr>
            <w:tcW w:w="2811" w:type="dxa"/>
            <w:vAlign w:val="center"/>
          </w:tcPr>
          <w:p w14:paraId="112C917F">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conservation</w:t>
            </w:r>
          </w:p>
        </w:tc>
      </w:tr>
      <w:tr w14:paraId="74D855C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54B5677A">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12</w:t>
            </w:r>
          </w:p>
        </w:tc>
        <w:tc>
          <w:tcPr>
            <w:tcW w:w="2130" w:type="dxa"/>
            <w:vAlign w:val="center"/>
          </w:tcPr>
          <w:p w14:paraId="0A2B5A46">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13</w:t>
            </w:r>
          </w:p>
        </w:tc>
        <w:tc>
          <w:tcPr>
            <w:tcW w:w="2131" w:type="dxa"/>
            <w:vAlign w:val="center"/>
          </w:tcPr>
          <w:p w14:paraId="42D3C10A">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0.04</w:t>
            </w:r>
          </w:p>
        </w:tc>
        <w:tc>
          <w:tcPr>
            <w:tcW w:w="2811" w:type="dxa"/>
            <w:vAlign w:val="center"/>
          </w:tcPr>
          <w:p w14:paraId="3DDA0F6B">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agricultural heritage</w:t>
            </w:r>
          </w:p>
        </w:tc>
      </w:tr>
      <w:tr w14:paraId="183323E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5160B751">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13</w:t>
            </w:r>
          </w:p>
        </w:tc>
        <w:tc>
          <w:tcPr>
            <w:tcW w:w="2130" w:type="dxa"/>
            <w:vAlign w:val="center"/>
          </w:tcPr>
          <w:p w14:paraId="04EA343E">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13</w:t>
            </w:r>
          </w:p>
        </w:tc>
        <w:tc>
          <w:tcPr>
            <w:tcW w:w="2131" w:type="dxa"/>
            <w:vAlign w:val="center"/>
          </w:tcPr>
          <w:p w14:paraId="11692830">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0.22</w:t>
            </w:r>
          </w:p>
        </w:tc>
        <w:tc>
          <w:tcPr>
            <w:tcW w:w="2811" w:type="dxa"/>
            <w:vAlign w:val="center"/>
          </w:tcPr>
          <w:p w14:paraId="6898EEE2">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China</w:t>
            </w:r>
          </w:p>
        </w:tc>
      </w:tr>
      <w:tr w14:paraId="7F11B06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2130" w:type="dxa"/>
            <w:vAlign w:val="center"/>
          </w:tcPr>
          <w:p w14:paraId="59569D04">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14</w:t>
            </w:r>
          </w:p>
        </w:tc>
        <w:tc>
          <w:tcPr>
            <w:tcW w:w="2130" w:type="dxa"/>
            <w:vAlign w:val="center"/>
          </w:tcPr>
          <w:p w14:paraId="0931093A">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12</w:t>
            </w:r>
          </w:p>
        </w:tc>
        <w:tc>
          <w:tcPr>
            <w:tcW w:w="2131" w:type="dxa"/>
            <w:vAlign w:val="center"/>
          </w:tcPr>
          <w:p w14:paraId="62359498">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w:t>
            </w:r>
          </w:p>
        </w:tc>
        <w:tc>
          <w:tcPr>
            <w:tcW w:w="2811" w:type="dxa"/>
            <w:vAlign w:val="center"/>
          </w:tcPr>
          <w:p w14:paraId="7FE79BA8">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agricultural heritage system</w:t>
            </w:r>
          </w:p>
        </w:tc>
      </w:tr>
      <w:tr w14:paraId="173158A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1F5E026E">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15</w:t>
            </w:r>
          </w:p>
        </w:tc>
        <w:tc>
          <w:tcPr>
            <w:tcW w:w="2130" w:type="dxa"/>
            <w:vAlign w:val="center"/>
          </w:tcPr>
          <w:p w14:paraId="7E9D8B16">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12</w:t>
            </w:r>
          </w:p>
        </w:tc>
        <w:tc>
          <w:tcPr>
            <w:tcW w:w="2131" w:type="dxa"/>
            <w:vAlign w:val="center"/>
          </w:tcPr>
          <w:p w14:paraId="5C39474E">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0.01</w:t>
            </w:r>
          </w:p>
        </w:tc>
        <w:tc>
          <w:tcPr>
            <w:tcW w:w="2811" w:type="dxa"/>
            <w:vAlign w:val="center"/>
          </w:tcPr>
          <w:p w14:paraId="55C313B0">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biodiversity</w:t>
            </w:r>
          </w:p>
        </w:tc>
      </w:tr>
      <w:tr w14:paraId="249F084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036B4B60">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16</w:t>
            </w:r>
          </w:p>
        </w:tc>
        <w:tc>
          <w:tcPr>
            <w:tcW w:w="2130" w:type="dxa"/>
            <w:vAlign w:val="center"/>
          </w:tcPr>
          <w:p w14:paraId="2B7CF5CC">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10</w:t>
            </w:r>
          </w:p>
        </w:tc>
        <w:tc>
          <w:tcPr>
            <w:tcW w:w="2131" w:type="dxa"/>
            <w:vAlign w:val="center"/>
          </w:tcPr>
          <w:p w14:paraId="4F327C4C">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0.02</w:t>
            </w:r>
          </w:p>
        </w:tc>
        <w:tc>
          <w:tcPr>
            <w:tcW w:w="2811" w:type="dxa"/>
            <w:vAlign w:val="center"/>
          </w:tcPr>
          <w:p w14:paraId="6CA95343">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prediction</w:t>
            </w:r>
          </w:p>
        </w:tc>
      </w:tr>
      <w:tr w14:paraId="4A54BDD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23DD0AD4">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17</w:t>
            </w:r>
          </w:p>
        </w:tc>
        <w:tc>
          <w:tcPr>
            <w:tcW w:w="2130" w:type="dxa"/>
            <w:vAlign w:val="center"/>
          </w:tcPr>
          <w:p w14:paraId="3F0E78DF">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10</w:t>
            </w:r>
          </w:p>
        </w:tc>
        <w:tc>
          <w:tcPr>
            <w:tcW w:w="2131" w:type="dxa"/>
            <w:vAlign w:val="center"/>
          </w:tcPr>
          <w:p w14:paraId="32B5402F">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0.2</w:t>
            </w:r>
          </w:p>
        </w:tc>
        <w:tc>
          <w:tcPr>
            <w:tcW w:w="2811" w:type="dxa"/>
            <w:vAlign w:val="center"/>
          </w:tcPr>
          <w:p w14:paraId="2E23C24F">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tourism</w:t>
            </w:r>
          </w:p>
        </w:tc>
      </w:tr>
      <w:tr w14:paraId="0380593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01412AA9">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18</w:t>
            </w:r>
          </w:p>
        </w:tc>
        <w:tc>
          <w:tcPr>
            <w:tcW w:w="2130" w:type="dxa"/>
            <w:vAlign w:val="center"/>
          </w:tcPr>
          <w:p w14:paraId="66BCAE18">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9</w:t>
            </w:r>
          </w:p>
        </w:tc>
        <w:tc>
          <w:tcPr>
            <w:tcW w:w="2131" w:type="dxa"/>
            <w:vAlign w:val="center"/>
          </w:tcPr>
          <w:p w14:paraId="1B0CFD08">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0.04</w:t>
            </w:r>
          </w:p>
        </w:tc>
        <w:tc>
          <w:tcPr>
            <w:tcW w:w="2811" w:type="dxa"/>
            <w:vAlign w:val="center"/>
          </w:tcPr>
          <w:p w14:paraId="02809C5E">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uncertainty</w:t>
            </w:r>
          </w:p>
        </w:tc>
      </w:tr>
      <w:tr w14:paraId="2686F99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5E207669">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19</w:t>
            </w:r>
          </w:p>
        </w:tc>
        <w:tc>
          <w:tcPr>
            <w:tcW w:w="2130" w:type="dxa"/>
            <w:vAlign w:val="center"/>
          </w:tcPr>
          <w:p w14:paraId="52CB7C8D">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8</w:t>
            </w:r>
          </w:p>
        </w:tc>
        <w:tc>
          <w:tcPr>
            <w:tcW w:w="2131" w:type="dxa"/>
            <w:vAlign w:val="center"/>
          </w:tcPr>
          <w:p w14:paraId="2F3E9F97">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0.01</w:t>
            </w:r>
          </w:p>
        </w:tc>
        <w:tc>
          <w:tcPr>
            <w:tcW w:w="2811" w:type="dxa"/>
            <w:vAlign w:val="center"/>
          </w:tcPr>
          <w:p w14:paraId="4033EAC2">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land use</w:t>
            </w:r>
          </w:p>
        </w:tc>
      </w:tr>
      <w:tr w14:paraId="280DACF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0" w:type="dxa"/>
            <w:vAlign w:val="center"/>
          </w:tcPr>
          <w:p w14:paraId="01533275">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20</w:t>
            </w:r>
          </w:p>
        </w:tc>
        <w:tc>
          <w:tcPr>
            <w:tcW w:w="2130" w:type="dxa"/>
            <w:vAlign w:val="center"/>
          </w:tcPr>
          <w:p w14:paraId="7550A46F">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8</w:t>
            </w:r>
          </w:p>
        </w:tc>
        <w:tc>
          <w:tcPr>
            <w:tcW w:w="2131" w:type="dxa"/>
            <w:vAlign w:val="center"/>
          </w:tcPr>
          <w:p w14:paraId="0DE765A8">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0.07</w:t>
            </w:r>
          </w:p>
        </w:tc>
        <w:tc>
          <w:tcPr>
            <w:tcW w:w="2811" w:type="dxa"/>
            <w:vAlign w:val="center"/>
          </w:tcPr>
          <w:p w14:paraId="3639FB3A">
            <w:pPr>
              <w:adjustRightInd w:val="0"/>
              <w:rPr>
                <w:rFonts w:hint="default" w:ascii="Times New Roman" w:hAnsi="Times New Roman" w:cs="Times New Roman"/>
                <w:color w:val="000000"/>
                <w:sz w:val="24"/>
              </w:rPr>
            </w:pPr>
            <w:r>
              <w:rPr>
                <w:rFonts w:hint="default" w:ascii="Times New Roman" w:hAnsi="Times New Roman" w:cs="Times New Roman"/>
                <w:color w:val="000000"/>
                <w:sz w:val="24"/>
              </w:rPr>
              <w:t>performance</w:t>
            </w:r>
          </w:p>
        </w:tc>
      </w:tr>
    </w:tbl>
    <w:p w14:paraId="4CE5F334">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By ranking 158 keywords from 2006 to 2023 based on their frequency, we determined the number of papers that included each keyword. The most frequently used keywords include impact, climate change, management, Global Important Agricultural Heritage Systems (GIAHS), models, systems, landscapes, sustainability, reliability, restoration, environmental protection, agricultural heritage, China, agricultural heritage systems, biodiversity, prediction, tourism, uncertainty, land use, and performance (see Table 6). Keywords related to the impact of agricultural heritage and ecosystem services show a high centrality, with centrality values above 0.3, indicating that multiple papers have cited these terms. In the GIAHS field(Food and Agriculture Organization)</w:t>
      </w:r>
      <w:r>
        <w:rPr>
          <w:rFonts w:hint="default" w:ascii="Times New Roman" w:hAnsi="Times New Roman" w:eastAsia="黑体" w:cs="Times New Roman"/>
          <w:sz w:val="24"/>
          <w:vertAlign w:val="superscript"/>
          <w:lang w:val="en-US" w:eastAsia="zh-CN"/>
        </w:rPr>
        <w:t>[21]</w:t>
      </w:r>
      <w:r>
        <w:rPr>
          <w:rFonts w:hint="default" w:ascii="Times New Roman" w:hAnsi="Times New Roman" w:eastAsia="楷体" w:cs="Times New Roman"/>
          <w:sz w:val="24"/>
        </w:rPr>
        <w:t>, scholars have focused on topics such as heritage management, heritage landscapes, land use, water resources, and terraced landscapes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24</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Researchers have also delved into significant landscape features related to agricultural heritage, land and water resource management, as well as biodiversity, ecosystem services, heritage diversity, climate change impacts, and sustainability in agricultural heritage. These research themes align closely with the unique characteristics of GIAHS in terms of biodiversity and ecosystem functionality.Beyond the examination of agricultural heritage issues, scholars have also explored topics related to food and livelihood security. These studies are integral to the sustainable livelihoods framework and provide theoretical support for sustainable agricultural practices. Past research has predominantly concentrated on heritage tourism, heritage systems, agricultural heritage systems, and China's agricultural heritage. These topics align with cultural values, value systems, and social organization in agriculture, offering valuable perspectives on the maintenance and transmission of agricultural heritage.</w:t>
      </w:r>
    </w:p>
    <w:p w14:paraId="761AF133">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Lastly, scholars have dedicated considerable efforts to heritage conservation and traditional knowledge systems, with these studies emerging as key areas of research. These themes resonate with the characteristics of knowledge systems and adaptive technologies, playing a crucial role in the protection and preservation of agricultural heritage.</w:t>
      </w:r>
    </w:p>
    <w:p w14:paraId="3E7EFCA2">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 xml:space="preserve">Using CiteSpace, we conducted a visualized cluster analysis of IAHS keywords, which helped identify the key research hotspots in the international IAHS field. The timeline view, shown in </w:t>
      </w:r>
      <w:r>
        <w:rPr>
          <w:rFonts w:hint="default" w:ascii="Times New Roman" w:hAnsi="Times New Roman" w:eastAsia="楷体" w:cs="Times New Roman"/>
          <w:sz w:val="24"/>
          <w:lang w:eastAsia="zh-CN"/>
        </w:rPr>
        <w:t>Figure.</w:t>
      </w:r>
      <w:r>
        <w:rPr>
          <w:rFonts w:hint="default" w:ascii="Times New Roman" w:hAnsi="Times New Roman" w:eastAsia="楷体" w:cs="Times New Roman"/>
          <w:sz w:val="24"/>
        </w:rPr>
        <w:t xml:space="preserve"> 5, emphasizes the relationships between clusters and the historical evolution of key topics. By applying </w:t>
      </w:r>
    </w:p>
    <w:p w14:paraId="2E097545">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cs="Times New Roman"/>
        </w:rPr>
        <w:drawing>
          <wp:anchor distT="0" distB="0" distL="0" distR="0" simplePos="0" relativeHeight="251660288" behindDoc="0" locked="0" layoutInCell="1" allowOverlap="1">
            <wp:simplePos x="0" y="0"/>
            <wp:positionH relativeFrom="column">
              <wp:posOffset>356235</wp:posOffset>
            </wp:positionH>
            <wp:positionV relativeFrom="page">
              <wp:posOffset>4358640</wp:posOffset>
            </wp:positionV>
            <wp:extent cx="5399405" cy="2519680"/>
            <wp:effectExtent l="0" t="0" r="10795" b="13970"/>
            <wp:wrapTopAndBottom/>
            <wp:docPr id="11" name="图片 1" descr="修改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修改过"/>
                    <pic:cNvPicPr>
                      <a:picLocks noChangeAspect="1"/>
                    </pic:cNvPicPr>
                  </pic:nvPicPr>
                  <pic:blipFill>
                    <a:blip r:embed="rId13"/>
                    <a:stretch>
                      <a:fillRect/>
                    </a:stretch>
                  </pic:blipFill>
                  <pic:spPr>
                    <a:xfrm>
                      <a:off x="0" y="0"/>
                      <a:ext cx="5399405" cy="2519680"/>
                    </a:xfrm>
                    <a:prstGeom prst="rect">
                      <a:avLst/>
                    </a:prstGeom>
                  </pic:spPr>
                </pic:pic>
              </a:graphicData>
            </a:graphic>
          </wp:anchor>
        </w:drawing>
      </w:r>
      <w:r>
        <w:rPr>
          <w:rFonts w:hint="default" w:ascii="Times New Roman" w:hAnsi="Times New Roman" w:eastAsia="楷体" w:cs="Times New Roman"/>
          <w:sz w:val="24"/>
        </w:rPr>
        <w:t>CiteSpace’s timeline function, we distributed keywords according to their emergence over time. After the formation of clusters, we selected the timeline view option in the control panel. In the resulting visual, the size of each ring on the timeline reflects the frequency with which the corresponding keyword or research theme has been cited. The larger the ring, the higher the citation frequency, indicating the increasing significance of that keyword or theme within the international IAHS research field. This visualization enables us to more clearly identify the evolving trends and key hotspots in IAHS research.</w:t>
      </w:r>
    </w:p>
    <w:p w14:paraId="175DEA7F">
      <w:pPr>
        <w:tabs>
          <w:tab w:val="left" w:pos="1974"/>
        </w:tabs>
        <w:adjustRightInd w:val="0"/>
        <w:spacing w:after="60"/>
        <w:jc w:val="center"/>
        <w:rPr>
          <w:rFonts w:hint="default" w:ascii="Times New Roman" w:hAnsi="Times New Roman" w:eastAsia="楷体" w:cs="Times New Roman"/>
          <w:sz w:val="24"/>
        </w:rPr>
      </w:pPr>
      <w:r>
        <w:rPr>
          <w:rFonts w:hint="default" w:ascii="Times New Roman" w:hAnsi="Times New Roman" w:cs="Times New Roman"/>
          <w:b/>
          <w:bCs/>
          <w:color w:val="000000"/>
        </w:rPr>
        <w:t>Figure</w:t>
      </w:r>
      <w:r>
        <w:rPr>
          <w:rFonts w:hint="default" w:ascii="Times New Roman" w:hAnsi="Times New Roman" w:cs="Times New Roman"/>
          <w:b/>
          <w:bCs/>
          <w:color w:val="000000"/>
          <w:lang w:val="en-US" w:eastAsia="zh-CN"/>
        </w:rPr>
        <w:t xml:space="preserve"> </w:t>
      </w:r>
      <w:r>
        <w:rPr>
          <w:rFonts w:hint="default" w:ascii="Times New Roman" w:hAnsi="Times New Roman" w:eastAsia="楷体" w:cs="Times New Roman"/>
          <w:b/>
          <w:bCs/>
          <w:sz w:val="24"/>
        </w:rPr>
        <w:t>5:</w:t>
      </w:r>
      <w:r>
        <w:rPr>
          <w:rFonts w:hint="default" w:ascii="Times New Roman" w:hAnsi="Times New Roman" w:eastAsia="楷体" w:cs="Times New Roman"/>
          <w:sz w:val="24"/>
        </w:rPr>
        <w:t xml:space="preserve"> Co</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occurrence Timeline of International IAHS Keywords from 2006 to 2023</w:t>
      </w:r>
    </w:p>
    <w:p w14:paraId="2C7E25FA">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 xml:space="preserve">As time progresses, the timeline chart, shown in </w:t>
      </w:r>
      <w:r>
        <w:rPr>
          <w:rFonts w:hint="default" w:ascii="Times New Roman" w:hAnsi="Times New Roman" w:eastAsia="楷体" w:cs="Times New Roman"/>
          <w:sz w:val="24"/>
          <w:lang w:eastAsia="zh-CN"/>
        </w:rPr>
        <w:t>Figure.</w:t>
      </w:r>
      <w:r>
        <w:rPr>
          <w:rFonts w:hint="default" w:ascii="Times New Roman" w:hAnsi="Times New Roman" w:eastAsia="楷体" w:cs="Times New Roman"/>
          <w:sz w:val="24"/>
        </w:rPr>
        <w:t xml:space="preserve"> 5, is created based on high</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centrality keywords within the clusters. The key research hotspots along the timeline focus on the following keywords:</w:t>
      </w:r>
    </w:p>
    <w:p w14:paraId="72085948">
      <w:pPr>
        <w:tabs>
          <w:tab w:val="left" w:pos="1974"/>
        </w:tabs>
        <w:adjustRightInd w:val="0"/>
        <w:spacing w:before="120" w:after="240"/>
        <w:jc w:val="left"/>
        <w:rPr>
          <w:rFonts w:hint="default" w:ascii="Times New Roman" w:hAnsi="Times New Roman" w:eastAsia="楷体" w:cs="Times New Roman"/>
          <w:sz w:val="24"/>
        </w:rPr>
      </w:pPr>
      <w:r>
        <w:rPr>
          <w:rFonts w:hint="default" w:ascii="Times New Roman" w:hAnsi="Times New Roman" w:eastAsia="楷体" w:cs="Times New Roman"/>
          <w:sz w:val="24"/>
        </w:rPr>
        <w:t>#0 Agricultural Heritage Systems</w:t>
      </w:r>
      <w:r>
        <w:rPr>
          <w:rFonts w:hint="eastAsia" w:eastAsia="楷体" w:cs="Times New Roman"/>
          <w:sz w:val="24"/>
          <w:lang w:val="en-US" w:eastAsia="zh-CN"/>
        </w:rPr>
        <w:t xml:space="preserve">                           </w:t>
      </w:r>
      <w:r>
        <w:rPr>
          <w:rFonts w:hint="default" w:ascii="Times New Roman" w:hAnsi="Times New Roman" w:eastAsia="楷体" w:cs="Times New Roman"/>
          <w:sz w:val="24"/>
        </w:rPr>
        <w:t>#1 Regeneration</w:t>
      </w:r>
    </w:p>
    <w:p w14:paraId="1233853A">
      <w:pPr>
        <w:tabs>
          <w:tab w:val="left" w:pos="1974"/>
        </w:tabs>
        <w:adjustRightInd w:val="0"/>
        <w:spacing w:before="120" w:after="240"/>
        <w:jc w:val="left"/>
        <w:rPr>
          <w:rFonts w:hint="default" w:ascii="Times New Roman" w:hAnsi="Times New Roman" w:eastAsia="楷体" w:cs="Times New Roman"/>
          <w:sz w:val="24"/>
        </w:rPr>
      </w:pPr>
      <w:r>
        <w:rPr>
          <w:rFonts w:hint="default" w:ascii="Times New Roman" w:hAnsi="Times New Roman" w:eastAsia="楷体" w:cs="Times New Roman"/>
          <w:sz w:val="24"/>
        </w:rPr>
        <w:t>#2 Agriculture</w:t>
      </w:r>
      <w:r>
        <w:rPr>
          <w:rFonts w:hint="eastAsia" w:eastAsia="楷体" w:cs="Times New Roman"/>
          <w:sz w:val="24"/>
          <w:lang w:val="en-US" w:eastAsia="zh-CN"/>
        </w:rPr>
        <w:t xml:space="preserve">                                                         </w:t>
      </w:r>
      <w:r>
        <w:rPr>
          <w:rFonts w:hint="default" w:ascii="Times New Roman" w:hAnsi="Times New Roman" w:eastAsia="楷体" w:cs="Times New Roman"/>
          <w:sz w:val="24"/>
        </w:rPr>
        <w:t>#3 Agroforestry Systems</w:t>
      </w:r>
    </w:p>
    <w:p w14:paraId="1FDB1D76">
      <w:pPr>
        <w:tabs>
          <w:tab w:val="left" w:pos="1974"/>
        </w:tabs>
        <w:adjustRightInd w:val="0"/>
        <w:spacing w:before="120" w:after="240"/>
        <w:jc w:val="left"/>
        <w:rPr>
          <w:rFonts w:hint="default" w:ascii="Times New Roman" w:hAnsi="Times New Roman" w:eastAsia="楷体" w:cs="Times New Roman"/>
          <w:sz w:val="24"/>
        </w:rPr>
      </w:pPr>
      <w:r>
        <w:rPr>
          <w:rFonts w:hint="default" w:ascii="Times New Roman" w:hAnsi="Times New Roman" w:eastAsia="楷体" w:cs="Times New Roman"/>
          <w:sz w:val="24"/>
        </w:rPr>
        <w:t>#4 Dry Stone Walls</w:t>
      </w:r>
      <w:r>
        <w:rPr>
          <w:rFonts w:hint="eastAsia" w:eastAsia="楷体" w:cs="Times New Roman"/>
          <w:sz w:val="24"/>
          <w:lang w:val="en-US" w:eastAsia="zh-CN"/>
        </w:rPr>
        <w:t xml:space="preserve">                                                 </w:t>
      </w:r>
      <w:r>
        <w:rPr>
          <w:rFonts w:hint="default" w:ascii="Times New Roman" w:hAnsi="Times New Roman" w:eastAsia="楷体" w:cs="Times New Roman"/>
          <w:sz w:val="24"/>
        </w:rPr>
        <w:t>#5 Social Capital</w:t>
      </w:r>
    </w:p>
    <w:p w14:paraId="1317CB97">
      <w:pPr>
        <w:tabs>
          <w:tab w:val="left" w:pos="1974"/>
        </w:tabs>
        <w:adjustRightInd w:val="0"/>
        <w:spacing w:before="120" w:after="240"/>
        <w:jc w:val="left"/>
        <w:rPr>
          <w:rFonts w:hint="default" w:ascii="Times New Roman" w:hAnsi="Times New Roman" w:eastAsia="楷体" w:cs="Times New Roman"/>
          <w:sz w:val="24"/>
        </w:rPr>
      </w:pPr>
      <w:r>
        <w:rPr>
          <w:rFonts w:hint="default" w:ascii="Times New Roman" w:hAnsi="Times New Roman" w:eastAsia="楷体" w:cs="Times New Roman"/>
          <w:sz w:val="24"/>
        </w:rPr>
        <w:t>#6 non</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stationarity</w:t>
      </w:r>
      <w:r>
        <w:rPr>
          <w:rFonts w:hint="eastAsia" w:eastAsia="楷体" w:cs="Times New Roman"/>
          <w:sz w:val="24"/>
          <w:lang w:val="en-US" w:eastAsia="zh-CN"/>
        </w:rPr>
        <w:t xml:space="preserve">                                                 </w:t>
      </w:r>
      <w:r>
        <w:rPr>
          <w:rFonts w:hint="default" w:ascii="Times New Roman" w:hAnsi="Times New Roman" w:eastAsia="楷体" w:cs="Times New Roman"/>
          <w:sz w:val="24"/>
        </w:rPr>
        <w:t>#7 Agrobiodiversity</w:t>
      </w:r>
    </w:p>
    <w:p w14:paraId="7A0ED0AE">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In the timeline of #0 Agricultural Heritage Systems, the first clustering keyword, "land use," appeared in 2008</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25</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Over time, related keywords gradually increased, including "culture," "China," "landscape use," "landscape," and "terraces." From 2006 to 2019, keywords primarily focused on "landscape use," "China," and "terraces." By 2020, new keywords such as "terrace landscapes," "nitrogen balance," and "site selection" emerged. This suggests that early international research on IAHS primarily concentrated on the development of system landscapes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26</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27</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with initial focus on landscape use methods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28</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29</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Subsequently, research shifted to focus on regional landscapes, particularly in countries like China</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30</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xml:space="preserve">, and later on specific forms such as terrace landscapes </w:t>
      </w:r>
      <w:r>
        <w:rPr>
          <w:rFonts w:hint="default" w:ascii="Times New Roman" w:hAnsi="Times New Roman" w:eastAsia="楷体" w:cs="Times New Roman"/>
          <w:sz w:val="24"/>
          <w:vertAlign w:val="superscript"/>
          <w:lang w:val="en-US" w:eastAsia="zh-CN"/>
        </w:rPr>
        <w:t>[31,</w:t>
      </w:r>
      <w:r>
        <w:rPr>
          <w:rFonts w:hint="eastAsia" w:eastAsia="楷体" w:cs="Times New Roman"/>
          <w:sz w:val="24"/>
          <w:vertAlign w:val="superscript"/>
          <w:lang w:val="en-US" w:eastAsia="zh-CN"/>
        </w:rPr>
        <w:t>32</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In recent years, the research direction has expanded to ecological element balance, such as nitrogen balance, with a primary focus on site selection issues in IAHS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33</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w:t>
      </w:r>
    </w:p>
    <w:p w14:paraId="1431CC5F">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In the timeline for #1 Regeneration, the first keyword, "biodiversity," appeared in 2011</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2</w:t>
      </w:r>
      <w:r>
        <w:rPr>
          <w:rFonts w:hint="default" w:ascii="Times New Roman" w:hAnsi="Times New Roman" w:eastAsia="楷体" w:cs="Times New Roman"/>
          <w:sz w:val="24"/>
          <w:vertAlign w:val="superscript"/>
          <w:lang w:val="en-US" w:eastAsia="zh-CN"/>
        </w:rPr>
        <w:t>8]</w:t>
      </w:r>
      <w:r>
        <w:rPr>
          <w:rFonts w:hint="default" w:ascii="Times New Roman" w:hAnsi="Times New Roman" w:eastAsia="楷体" w:cs="Times New Roman"/>
          <w:sz w:val="24"/>
        </w:rPr>
        <w:t>, followed by terms like "ethnobotany," "food security," and "cultural landscapes." From 2018 to 2023, the keywords expanded to include "traditional agriculture," "soil," "value," and "agroecosystems." Early research on IAHS regeneration focused on promoting regeneration through biodiversity conservation</w:t>
      </w:r>
      <w:r>
        <w:rPr>
          <w:rFonts w:hint="default" w:ascii="Times New Roman" w:hAnsi="Times New Roman" w:eastAsia="楷体" w:cs="Times New Roman"/>
          <w:sz w:val="24"/>
          <w:vertAlign w:val="superscript"/>
          <w:lang w:val="en-US" w:eastAsia="zh-CN"/>
        </w:rPr>
        <w:t>[9,</w:t>
      </w:r>
      <w:r>
        <w:rPr>
          <w:rFonts w:hint="eastAsia" w:eastAsia="楷体" w:cs="Times New Roman"/>
          <w:sz w:val="24"/>
          <w:vertAlign w:val="superscript"/>
          <w:lang w:val="en-US" w:eastAsia="zh-CN"/>
        </w:rPr>
        <w:t>34</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The focus gradually shifted towards more abstract aspects of regeneration, including food security, heritage, knowledge, and cultural landscapes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2</w:t>
      </w:r>
      <w:r>
        <w:rPr>
          <w:rFonts w:hint="default" w:ascii="Times New Roman" w:hAnsi="Times New Roman" w:eastAsia="楷体" w:cs="Times New Roman"/>
          <w:sz w:val="24"/>
          <w:vertAlign w:val="superscript"/>
          <w:lang w:val="en-US" w:eastAsia="zh-CN"/>
        </w:rPr>
        <w:t>9]</w:t>
      </w:r>
      <w:r>
        <w:rPr>
          <w:rFonts w:hint="default" w:ascii="Times New Roman" w:hAnsi="Times New Roman" w:eastAsia="楷体" w:cs="Times New Roman"/>
          <w:sz w:val="24"/>
        </w:rPr>
        <w:t>. The research also began to explore the regeneration of agricultural production factors, such as the revival of traditional knowledge and soil regeneration at IAHS sites. The scope of research expanded further to include ecosystem regeneration</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34</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w:t>
      </w:r>
    </w:p>
    <w:p w14:paraId="28546222">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On the #2 Agriculture timeline, the first keyword, "sustainability," appeared in 2012</w:t>
      </w:r>
      <w:r>
        <w:rPr>
          <w:rFonts w:hint="default" w:ascii="Times New Roman" w:hAnsi="Times New Roman" w:eastAsia="楷体" w:cs="Times New Roman"/>
          <w:sz w:val="24"/>
          <w:vertAlign w:val="superscript"/>
          <w:lang w:val="en-US" w:eastAsia="zh-CN"/>
        </w:rPr>
        <w:t>[3</w:t>
      </w:r>
      <w:r>
        <w:rPr>
          <w:rFonts w:hint="eastAsia" w:eastAsia="楷体" w:cs="Times New Roman"/>
          <w:sz w:val="24"/>
          <w:vertAlign w:val="superscript"/>
          <w:lang w:val="en-US" w:eastAsia="zh-CN"/>
        </w:rPr>
        <w:t>5</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In 2015, keywords like "climate change," "watersheds," "resilience," and "agriculture" emerged, followed by "Spanish national research" in 2017, and by 2020, the latest terms were "adaptation," "strategies," and "quality." This trend suggests that early research in international IAHS focused on rural development and environmental protection issues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36</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The perspective of research expanded from a global view on climate change to a regional focus on changes within specific areas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3</w:t>
      </w:r>
      <w:r>
        <w:rPr>
          <w:rFonts w:hint="default" w:ascii="Times New Roman" w:hAnsi="Times New Roman" w:eastAsia="楷体" w:cs="Times New Roman"/>
          <w:sz w:val="24"/>
          <w:vertAlign w:val="superscript"/>
          <w:lang w:val="en-US" w:eastAsia="zh-CN"/>
        </w:rPr>
        <w:t>7]</w:t>
      </w:r>
      <w:r>
        <w:rPr>
          <w:rFonts w:hint="default" w:ascii="Times New Roman" w:hAnsi="Times New Roman" w:eastAsia="楷体" w:cs="Times New Roman"/>
          <w:sz w:val="24"/>
        </w:rPr>
        <w:t>, and further down to the micro</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level of agricultural production systems, focusing on agricultural quality improvement and solutions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38</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The primary research themes examined the impacts of IAHS on global agricultural adaptation, resilience, and sustainability</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39</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w:t>
      </w:r>
    </w:p>
    <w:p w14:paraId="79EDD53E">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In the timeline for #3 Agroforestry Systems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40</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41</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the first keyword, "system," appeared in 2006</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3</w:t>
      </w:r>
      <w:r>
        <w:rPr>
          <w:rFonts w:hint="default" w:ascii="Times New Roman" w:hAnsi="Times New Roman" w:eastAsia="楷体" w:cs="Times New Roman"/>
          <w:sz w:val="24"/>
          <w:vertAlign w:val="superscript"/>
          <w:lang w:val="en-US" w:eastAsia="zh-CN"/>
        </w:rPr>
        <w:t>1]</w:t>
      </w:r>
      <w:r>
        <w:rPr>
          <w:rFonts w:hint="default" w:ascii="Times New Roman" w:hAnsi="Times New Roman" w:eastAsia="楷体" w:cs="Times New Roman"/>
          <w:sz w:val="24"/>
        </w:rPr>
        <w:t>. From 2012 to 2017, keywords like "management," "Europe," "region," and "food" emerged. In 2023, new keywords included "traditional knowledge," "mid</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mountain," and "services." Early IAHS research focused on the wealth and management of IAHS itself. Over time, the research extended to the factors related to IAHS development. Initially, the focus was on the primary industry, gradually expanding to the secondary and tertiary sectors. The scope evolved from global system management to regional system management, and later to specific site</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based management</w:t>
      </w:r>
      <w:r>
        <w:rPr>
          <w:rFonts w:hint="default" w:ascii="Times New Roman" w:hAnsi="Times New Roman" w:eastAsia="楷体" w:cs="Times New Roman"/>
          <w:sz w:val="24"/>
          <w:vertAlign w:val="superscript"/>
          <w:lang w:val="en-US" w:eastAsia="zh-CN"/>
        </w:rPr>
        <w:t>[34,</w:t>
      </w:r>
      <w:r>
        <w:rPr>
          <w:rFonts w:hint="eastAsia" w:eastAsia="楷体" w:cs="Times New Roman"/>
          <w:sz w:val="24"/>
          <w:vertAlign w:val="superscript"/>
          <w:lang w:val="en-US" w:eastAsia="zh-CN"/>
        </w:rPr>
        <w:t>36</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The content progressed from general system functionality and management to more specific studies on tourism and traditional knowledge within case study regions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37</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42</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w:t>
      </w:r>
    </w:p>
    <w:p w14:paraId="761C757F">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In the #4 Dry Stone Walls timeline, the first term "ecosystem services" appeared in 2014</w:t>
      </w:r>
      <w:r>
        <w:rPr>
          <w:rFonts w:hint="default" w:ascii="Times New Roman" w:hAnsi="Times New Roman" w:eastAsia="楷体" w:cs="Times New Roman"/>
          <w:sz w:val="24"/>
          <w:vertAlign w:val="superscript"/>
          <w:lang w:val="en-US" w:eastAsia="zh-CN"/>
        </w:rPr>
        <w:t>[4</w:t>
      </w:r>
      <w:r>
        <w:rPr>
          <w:rFonts w:hint="eastAsia" w:eastAsia="楷体" w:cs="Times New Roman"/>
          <w:sz w:val="24"/>
          <w:vertAlign w:val="superscript"/>
          <w:lang w:val="en-US" w:eastAsia="zh-CN"/>
        </w:rPr>
        <w:t>3</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Between 2015 and 2019, keywords like "prediction</w:t>
      </w:r>
      <w:r>
        <w:rPr>
          <w:rFonts w:hint="default" w:ascii="Times New Roman" w:hAnsi="Times New Roman" w:eastAsia="楷体" w:cs="Times New Roman"/>
          <w:sz w:val="24"/>
          <w:vertAlign w:val="superscript"/>
          <w:lang w:val="en-US" w:eastAsia="zh-CN"/>
        </w:rPr>
        <w:t>[4</w:t>
      </w:r>
      <w:r>
        <w:rPr>
          <w:rFonts w:hint="eastAsia" w:eastAsia="楷体" w:cs="Times New Roman"/>
          <w:sz w:val="24"/>
          <w:vertAlign w:val="superscript"/>
          <w:lang w:val="en-US" w:eastAsia="zh-CN"/>
        </w:rPr>
        <w:t>4</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"runoff," "cultural heritage," "abandonment," and "perception" emerged. By 2022, new terms like "agricultural systems" and "life cycle assessment" appeared. Research on "dry stone walls" has primarily focused on ecosystem service functions, runoff, landscapes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3</w:t>
      </w:r>
      <w:r>
        <w:rPr>
          <w:rFonts w:hint="default" w:ascii="Times New Roman" w:hAnsi="Times New Roman" w:eastAsia="楷体" w:cs="Times New Roman"/>
          <w:sz w:val="24"/>
          <w:vertAlign w:val="superscript"/>
          <w:lang w:val="en-US" w:eastAsia="zh-CN"/>
        </w:rPr>
        <w:t>5]</w:t>
      </w:r>
      <w:r>
        <w:rPr>
          <w:rFonts w:hint="default" w:ascii="Times New Roman" w:hAnsi="Times New Roman" w:eastAsia="楷体" w:cs="Times New Roman"/>
          <w:sz w:val="24"/>
        </w:rPr>
        <w:t>, cultural heritage, and the abandonment of dry stone walls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40</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Studies on dry stone walls in IAHS have evolved from focusing on the characteristics of dry stone wall systems to their changes and existing issues, and more recently, to analyzing their entire lifecycle</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3</w:t>
      </w:r>
      <w:r>
        <w:rPr>
          <w:rFonts w:hint="default" w:ascii="Times New Roman" w:hAnsi="Times New Roman" w:eastAsia="楷体" w:cs="Times New Roman"/>
          <w:sz w:val="24"/>
          <w:vertAlign w:val="superscript"/>
          <w:lang w:val="en-US" w:eastAsia="zh-CN"/>
        </w:rPr>
        <w:t>2]</w:t>
      </w:r>
      <w:r>
        <w:rPr>
          <w:rFonts w:hint="default" w:ascii="Times New Roman" w:hAnsi="Times New Roman" w:eastAsia="楷体" w:cs="Times New Roman"/>
          <w:sz w:val="24"/>
        </w:rPr>
        <w:t>.</w:t>
      </w:r>
    </w:p>
    <w:p w14:paraId="5FBC7D57">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On the #5 Social Capital timeline, the first terms "storage" and "water" appeared in 2007</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45</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Between 2014 and 2015, keywords like "stakeholders," "West Africa," and "Bangladesh" emerged. In 2018, "GIAHS" appeared, and by 2020, "denitrification" was introduced. Research on social capital has expanded from a micro</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level perspective on resources to regional and human impacts, focusing on the development of climate factors and the growth of GIAHS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46</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Human factors often relate to the natural conditions of heritage sites and the distribution of benefits among heritage site residents and stakeholders. Research has since broadened to include strategies to improve and optimize livelihoods from the perspective of capital and income</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47</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Throughout this research, natural resources, such as water, play a key role, as water resources are critical to tourists and support the sustainable development of IAHS</w:t>
      </w:r>
      <w:r>
        <w:rPr>
          <w:rFonts w:hint="default" w:ascii="Times New Roman" w:hAnsi="Times New Roman" w:eastAsia="楷体" w:cs="Times New Roman"/>
          <w:sz w:val="24"/>
          <w:vertAlign w:val="superscript"/>
          <w:lang w:val="en-US" w:eastAsia="zh-CN"/>
        </w:rPr>
        <w:t>[4</w:t>
      </w:r>
      <w:r>
        <w:rPr>
          <w:rFonts w:hint="eastAsia" w:eastAsia="楷体" w:cs="Times New Roman"/>
          <w:sz w:val="24"/>
          <w:vertAlign w:val="superscript"/>
          <w:lang w:val="en-US" w:eastAsia="zh-CN"/>
        </w:rPr>
        <w:t>8</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w:t>
      </w:r>
    </w:p>
    <w:p w14:paraId="75BD4BF3">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On the #6 Instability timeline, the first term appeared in 2014</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3</w:t>
      </w:r>
      <w:r>
        <w:rPr>
          <w:rFonts w:hint="default" w:ascii="Times New Roman" w:hAnsi="Times New Roman" w:eastAsia="楷体" w:cs="Times New Roman"/>
          <w:sz w:val="24"/>
          <w:vertAlign w:val="superscript"/>
          <w:lang w:val="en-US" w:eastAsia="zh-CN"/>
        </w:rPr>
        <w:t>9]</w:t>
      </w:r>
      <w:r>
        <w:rPr>
          <w:rFonts w:hint="default" w:ascii="Times New Roman" w:hAnsi="Times New Roman" w:eastAsia="楷体" w:cs="Times New Roman"/>
          <w:sz w:val="24"/>
        </w:rPr>
        <w:t>, with "denitrification" emerging in 2020. Research on instability in IAHS primarily focuses on the instability caused by climate change</w:t>
      </w:r>
      <w:r>
        <w:rPr>
          <w:rFonts w:hint="default" w:ascii="Times New Roman" w:hAnsi="Times New Roman" w:eastAsia="楷体" w:cs="Times New Roman"/>
          <w:sz w:val="24"/>
          <w:vertAlign w:val="superscript"/>
          <w:lang w:val="en-US" w:eastAsia="zh-CN"/>
        </w:rPr>
        <w:t>[4</w:t>
      </w:r>
      <w:r>
        <w:rPr>
          <w:rFonts w:hint="eastAsia" w:eastAsia="楷体" w:cs="Times New Roman"/>
          <w:sz w:val="24"/>
          <w:vertAlign w:val="superscript"/>
          <w:lang w:val="en-US" w:eastAsia="zh-CN"/>
        </w:rPr>
        <w:t>9</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The focus has shifted from large</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scale geographic models to specific geographic models within particular domains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50</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w:t>
      </w:r>
    </w:p>
    <w:p w14:paraId="441130F8">
      <w:pPr>
        <w:tabs>
          <w:tab w:val="left" w:pos="1974"/>
        </w:tabs>
        <w:adjustRightInd w:val="0"/>
        <w:spacing w:before="120" w:after="240"/>
        <w:jc w:val="both"/>
        <w:rPr>
          <w:rFonts w:hint="default" w:ascii="Times New Roman" w:hAnsi="Times New Roman" w:cs="Times New Roman"/>
        </w:rPr>
      </w:pPr>
      <w:r>
        <w:rPr>
          <w:rFonts w:hint="default" w:ascii="Times New Roman" w:hAnsi="Times New Roman" w:eastAsia="楷体" w:cs="Times New Roman"/>
          <w:sz w:val="24"/>
        </w:rPr>
        <w:t>Lastly, on the #7 Agricultural Biodiversity timeline, the first term "dynamics" appeared in 2011</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4</w:t>
      </w:r>
      <w:r>
        <w:rPr>
          <w:rFonts w:hint="default" w:ascii="Times New Roman" w:hAnsi="Times New Roman" w:eastAsia="楷体" w:cs="Times New Roman"/>
          <w:sz w:val="24"/>
          <w:vertAlign w:val="superscript"/>
          <w:lang w:val="en-US" w:eastAsia="zh-CN"/>
        </w:rPr>
        <w:t>5]</w:t>
      </w:r>
      <w:r>
        <w:rPr>
          <w:rFonts w:hint="default" w:ascii="Times New Roman" w:hAnsi="Times New Roman" w:eastAsia="楷体" w:cs="Times New Roman"/>
          <w:sz w:val="24"/>
        </w:rPr>
        <w:t>, followed by "agricultural biodiversity" in 2013, "farmers" in 2016, and "seed exchange networks" in 2019. Research on agricultural biodiversity in IAHS covers a wide range, from the overall study of agricultural biodiversity to its maintenance and the protection of agricultural biodiversity through germplasm exchange</w:t>
      </w:r>
      <w:r>
        <w:rPr>
          <w:rFonts w:hint="default" w:ascii="Times New Roman" w:hAnsi="Times New Roman" w:eastAsia="楷体" w:cs="Times New Roman"/>
          <w:sz w:val="24"/>
          <w:vertAlign w:val="superscript"/>
          <w:lang w:val="en-US" w:eastAsia="zh-CN"/>
        </w:rPr>
        <w:t>[5</w:t>
      </w:r>
      <w:r>
        <w:rPr>
          <w:rFonts w:hint="eastAsia" w:eastAsia="楷体" w:cs="Times New Roman"/>
          <w:sz w:val="24"/>
          <w:vertAlign w:val="superscript"/>
          <w:lang w:val="en-US" w:eastAsia="zh-CN"/>
        </w:rPr>
        <w:t>1</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51</w:t>
      </w:r>
      <w:r>
        <w:rPr>
          <w:rFonts w:hint="default" w:ascii="Times New Roman" w:hAnsi="Times New Roman" w:eastAsia="楷体" w:cs="Times New Roman"/>
          <w:sz w:val="24"/>
          <w:vertAlign w:val="superscript"/>
          <w:lang w:val="en-US" w:eastAsia="zh-CN"/>
        </w:rPr>
        <w:t>,5</w:t>
      </w:r>
      <w:r>
        <w:rPr>
          <w:rFonts w:hint="eastAsia" w:eastAsia="楷体" w:cs="Times New Roman"/>
          <w:sz w:val="24"/>
          <w:vertAlign w:val="superscript"/>
          <w:lang w:val="en-US" w:eastAsia="zh-CN"/>
        </w:rPr>
        <w:t>3</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w:t>
      </w:r>
    </w:p>
    <w:p w14:paraId="2B2958F7">
      <w:pPr>
        <w:pStyle w:val="3"/>
        <w:numPr>
          <w:ilvl w:val="1"/>
          <w:numId w:val="2"/>
        </w:numPr>
        <w:ind w:left="283" w:leftChars="0" w:hanging="283" w:firstLineChars="0"/>
        <w:rPr>
          <w:rFonts w:hint="default" w:ascii="Times New Roman" w:hAnsi="Times New Roman" w:cs="Times New Roman"/>
        </w:rPr>
      </w:pPr>
      <w:r>
        <w:rPr>
          <w:rFonts w:hint="default" w:ascii="Times New Roman" w:hAnsi="Times New Roman" w:cs="Times New Roman"/>
        </w:rPr>
        <w:t>Analysis of Keyword Emergence in International IAHS Research</w:t>
      </w:r>
    </w:p>
    <w:p w14:paraId="16076767">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Emergent keywords refer to terms that appear frequently over a short period, reflecting the research hotspots that scholars focus on during a specific time. These keywords are crucial for understanding the evolution and development trends of a field during a given period. CiteSpace software enables the detection of emergent keywords based on the frequency changes of terms over time. By analyzing the frequency fluctuations of emergent keywords</w:t>
      </w:r>
      <w:r>
        <w:rPr>
          <w:rFonts w:hint="default" w:ascii="Times New Roman" w:hAnsi="Times New Roman" w:eastAsia="楷体" w:cs="Times New Roman"/>
          <w:sz w:val="24"/>
          <w:vertAlign w:val="superscript"/>
          <w:lang w:val="en-US" w:eastAsia="zh-CN"/>
        </w:rPr>
        <w:t>[15]</w:t>
      </w:r>
      <w:r>
        <w:rPr>
          <w:rFonts w:hint="default" w:ascii="Times New Roman" w:hAnsi="Times New Roman" w:eastAsia="楷体" w:cs="Times New Roman"/>
          <w:sz w:val="24"/>
        </w:rPr>
        <w:t>, we can uncover shifts in the research hotspots and trends within the field. These instantaneous changes reflect specific issues that scholars focused on during particular periods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54</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.In CiteSpace 6.2.R6, we set the topn=20 parameter. "Keyword" represents the type of node (i.e., the keyword), "Year" indicates the year the keyword appeared, "Intensity" shows the frequency of its occurrence, "Begin" marks when the keyword started appearing, and "Close" marks when it stopped appearing.</w:t>
      </w:r>
    </w:p>
    <w:p w14:paraId="3546D503">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By using these settings, we were able to accurately track the evolution of keywords over time and identify the emergence of research hotspots. This approach helps provide a comprehensive understanding of the development trends in IAHS research. In this study, we will detail the results from CiteSpace, focusing on the evolution paths of emergent keywords to gain deeper insights into the dynamic research trends in the IAHS field.</w:t>
      </w:r>
    </w:p>
    <w:p w14:paraId="34EDADB3">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 xml:space="preserve">Finally, </w:t>
      </w:r>
      <w:r>
        <w:rPr>
          <w:rFonts w:hint="default" w:ascii="Times New Roman" w:hAnsi="Times New Roman" w:eastAsia="楷体" w:cs="Times New Roman"/>
          <w:sz w:val="24"/>
          <w:lang w:eastAsia="zh-CN"/>
        </w:rPr>
        <w:t>Figure.</w:t>
      </w:r>
      <w:r>
        <w:rPr>
          <w:rFonts w:hint="default" w:ascii="Times New Roman" w:hAnsi="Times New Roman" w:eastAsia="楷体" w:cs="Times New Roman"/>
          <w:sz w:val="24"/>
        </w:rPr>
        <w:t xml:space="preserve"> 6 shows the top 21 emergent keywords in international IAHS research from 2006 to 2023. The highlighted red line in the image indicates the duration of each keyword’s prominence. Based on the phase</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by</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phase changes in keywords, we can divide the evolution of IAHS research into four stages:</w:t>
      </w:r>
    </w:p>
    <w:p w14:paraId="6D7A71A4">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b/>
          <w:bCs/>
          <w:sz w:val="24"/>
        </w:rPr>
        <w:t>Phase 1 (2006</w:t>
      </w:r>
      <w:r>
        <w:rPr>
          <w:rFonts w:hint="default" w:ascii="Times New Roman" w:hAnsi="Times New Roman" w:eastAsia="楷体" w:cs="Times New Roman"/>
          <w:b/>
          <w:bCs/>
          <w:sz w:val="24"/>
          <w:lang w:eastAsia="zh-CN"/>
        </w:rPr>
        <w:t>–</w:t>
      </w:r>
      <w:r>
        <w:rPr>
          <w:rFonts w:hint="default" w:ascii="Times New Roman" w:hAnsi="Times New Roman" w:eastAsia="楷体" w:cs="Times New Roman"/>
          <w:b/>
          <w:bCs/>
          <w:sz w:val="24"/>
        </w:rPr>
        <w:t xml:space="preserve">2013): </w:t>
      </w:r>
      <w:r>
        <w:rPr>
          <w:rFonts w:hint="default" w:ascii="Times New Roman" w:hAnsi="Times New Roman" w:eastAsia="楷体" w:cs="Times New Roman"/>
          <w:sz w:val="24"/>
        </w:rPr>
        <w:t>During this stage, international IAHS research primarily focused on management, biodiversity, and diversity, discussing IAHS characteristics and usage from a macro perspective</w:t>
      </w:r>
      <w:r>
        <w:rPr>
          <w:rFonts w:hint="default" w:ascii="Times New Roman" w:hAnsi="Times New Roman" w:eastAsia="楷体" w:cs="Times New Roman"/>
          <w:sz w:val="24"/>
          <w:vertAlign w:val="superscript"/>
          <w:lang w:val="en-US" w:eastAsia="zh-CN"/>
        </w:rPr>
        <w:t>[22,53]</w:t>
      </w:r>
      <w:r>
        <w:rPr>
          <w:rFonts w:hint="default" w:ascii="Times New Roman" w:hAnsi="Times New Roman" w:eastAsia="楷体" w:cs="Times New Roman"/>
          <w:sz w:val="24"/>
        </w:rPr>
        <w:t>.</w:t>
      </w:r>
    </w:p>
    <w:p w14:paraId="6F990C57">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b/>
          <w:bCs/>
          <w:sz w:val="24"/>
        </w:rPr>
        <w:t>Phase 2 (2014</w:t>
      </w:r>
      <w:r>
        <w:rPr>
          <w:rFonts w:hint="default" w:ascii="Times New Roman" w:hAnsi="Times New Roman" w:eastAsia="楷体" w:cs="Times New Roman"/>
          <w:b/>
          <w:bCs/>
          <w:sz w:val="24"/>
          <w:lang w:eastAsia="zh-CN"/>
        </w:rPr>
        <w:t>–</w:t>
      </w:r>
      <w:r>
        <w:rPr>
          <w:rFonts w:hint="default" w:ascii="Times New Roman" w:hAnsi="Times New Roman" w:eastAsia="楷体" w:cs="Times New Roman"/>
          <w:b/>
          <w:bCs/>
          <w:sz w:val="24"/>
        </w:rPr>
        <w:t>2016):</w:t>
      </w:r>
      <w:r>
        <w:rPr>
          <w:rFonts w:hint="default" w:ascii="Times New Roman" w:hAnsi="Times New Roman" w:eastAsia="楷体" w:cs="Times New Roman"/>
          <w:sz w:val="24"/>
        </w:rPr>
        <w:t xml:space="preserve"> The research hotspots shifted towards heritage, environment, uncertainty, areas, and forests. This phase emphasized research on natural environments and regional issues</w:t>
      </w:r>
      <w:r>
        <w:rPr>
          <w:rFonts w:hint="default" w:ascii="Times New Roman" w:hAnsi="Times New Roman" w:eastAsia="楷体" w:cs="Times New Roman"/>
          <w:sz w:val="24"/>
          <w:vertAlign w:val="superscript"/>
          <w:lang w:val="en-US" w:eastAsia="zh-CN"/>
        </w:rPr>
        <w:t>[7,31,</w:t>
      </w:r>
      <w:r>
        <w:rPr>
          <w:rFonts w:hint="eastAsia" w:eastAsia="楷体" w:cs="Times New Roman"/>
          <w:sz w:val="24"/>
          <w:vertAlign w:val="superscript"/>
          <w:lang w:val="en-US" w:eastAsia="zh-CN"/>
        </w:rPr>
        <w:t>55</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w:t>
      </w:r>
    </w:p>
    <w:p w14:paraId="796D1EDF">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b/>
          <w:bCs/>
          <w:sz w:val="24"/>
        </w:rPr>
        <w:t>Phase 3 (2017</w:t>
      </w:r>
      <w:r>
        <w:rPr>
          <w:rFonts w:hint="default" w:ascii="Times New Roman" w:hAnsi="Times New Roman" w:eastAsia="楷体" w:cs="Times New Roman"/>
          <w:b/>
          <w:bCs/>
          <w:sz w:val="24"/>
          <w:lang w:eastAsia="zh-CN"/>
        </w:rPr>
        <w:t>–</w:t>
      </w:r>
      <w:r>
        <w:rPr>
          <w:rFonts w:hint="default" w:ascii="Times New Roman" w:hAnsi="Times New Roman" w:eastAsia="楷体" w:cs="Times New Roman"/>
          <w:b/>
          <w:bCs/>
          <w:sz w:val="24"/>
        </w:rPr>
        <w:t>2019):</w:t>
      </w:r>
      <w:r>
        <w:rPr>
          <w:rFonts w:hint="default" w:ascii="Times New Roman" w:hAnsi="Times New Roman" w:eastAsia="楷体" w:cs="Times New Roman"/>
          <w:sz w:val="24"/>
        </w:rPr>
        <w:t xml:space="preserve"> Research topics concentrated on impact, climate change, diversification, sustainability, region, and perception. During this phase, scholars began focusing on the regional aspects of the research and the perceptions of farmers in those areas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56</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w:t>
      </w:r>
    </w:p>
    <w:p w14:paraId="2672C8FE">
      <w:pPr>
        <w:tabs>
          <w:tab w:val="left" w:pos="1974"/>
        </w:tabs>
        <w:adjustRightInd w:val="0"/>
        <w:jc w:val="both"/>
        <w:rPr>
          <w:rFonts w:hint="default" w:ascii="Times New Roman" w:hAnsi="Times New Roman" w:eastAsia="宋体" w:cs="Times New Roman"/>
          <w:sz w:val="24"/>
        </w:rPr>
      </w:pPr>
      <w:r>
        <w:rPr>
          <w:rFonts w:hint="default" w:ascii="Times New Roman" w:hAnsi="Times New Roman" w:eastAsia="宋体" w:cs="Times New Roman"/>
          <w:b/>
          <w:bCs/>
          <w:sz w:val="24"/>
        </w:rPr>
        <w:t>Phase 4 (2020</w:t>
      </w:r>
      <w:r>
        <w:rPr>
          <w:rFonts w:hint="default" w:ascii="Times New Roman" w:hAnsi="Times New Roman" w:eastAsia="宋体" w:cs="Times New Roman"/>
          <w:b/>
          <w:bCs/>
          <w:sz w:val="24"/>
          <w:lang w:eastAsia="zh-CN"/>
        </w:rPr>
        <w:t>–</w:t>
      </w:r>
      <w:r>
        <w:rPr>
          <w:rFonts w:hint="default" w:ascii="Times New Roman" w:hAnsi="Times New Roman" w:eastAsia="宋体" w:cs="Times New Roman"/>
          <w:b/>
          <w:bCs/>
          <w:sz w:val="24"/>
        </w:rPr>
        <w:t xml:space="preserve">2023): </w:t>
      </w:r>
      <w:r>
        <w:rPr>
          <w:rFonts w:hint="default" w:ascii="Times New Roman" w:hAnsi="Times New Roman" w:eastAsia="宋体" w:cs="Times New Roman"/>
          <w:sz w:val="24"/>
        </w:rPr>
        <w:t>The focus shifted to cultural heritage, frameworks, models, sustainability, and GIAHS. Increasingly, scholars recognized the issues surrounding the protection and development models of international IAHS and began addressing the inheritance, development, and value of IAHS systems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57</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58</w:t>
      </w:r>
      <w:r>
        <w:rPr>
          <w:rFonts w:hint="default" w:ascii="Times New Roman" w:hAnsi="Times New Roman" w:eastAsia="楷体" w:cs="Times New Roman"/>
          <w:sz w:val="24"/>
          <w:vertAlign w:val="superscript"/>
          <w:lang w:val="en-US" w:eastAsia="zh-CN"/>
        </w:rPr>
        <w:t>]</w:t>
      </w:r>
      <w:r>
        <w:rPr>
          <w:rFonts w:hint="default" w:ascii="Times New Roman" w:hAnsi="Times New Roman" w:eastAsia="宋体" w:cs="Times New Roman"/>
          <w:sz w:val="24"/>
        </w:rPr>
        <w:t>.</w:t>
      </w:r>
    </w:p>
    <w:p w14:paraId="3A127FE3">
      <w:pPr>
        <w:widowControl/>
        <w:jc w:val="center"/>
        <w:rPr>
          <w:rFonts w:hint="default" w:ascii="Times New Roman" w:hAnsi="Times New Roman" w:cs="Times New Roman"/>
        </w:rPr>
      </w:pPr>
      <w:r>
        <w:rPr>
          <w:rFonts w:hint="default" w:ascii="Times New Roman" w:hAnsi="Times New Roman" w:cs="Times New Roman"/>
        </w:rPr>
        <w:drawing>
          <wp:inline distT="0" distB="0" distL="0" distR="0">
            <wp:extent cx="3768090" cy="4273550"/>
            <wp:effectExtent l="0" t="0" r="3810" b="1270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stretch>
                      <a:fillRect/>
                    </a:stretch>
                  </pic:blipFill>
                  <pic:spPr>
                    <a:xfrm>
                      <a:off x="0" y="0"/>
                      <a:ext cx="3768090" cy="4273550"/>
                    </a:xfrm>
                    <a:prstGeom prst="rect">
                      <a:avLst/>
                    </a:prstGeom>
                    <a:noFill/>
                    <a:ln>
                      <a:noFill/>
                    </a:ln>
                  </pic:spPr>
                </pic:pic>
              </a:graphicData>
            </a:graphic>
          </wp:inline>
        </w:drawing>
      </w:r>
    </w:p>
    <w:p w14:paraId="0942772E">
      <w:pPr>
        <w:widowControl/>
        <w:jc w:val="center"/>
        <w:rPr>
          <w:rFonts w:hint="default" w:ascii="Times New Roman" w:hAnsi="Times New Roman" w:eastAsia="楷体" w:cs="Times New Roman"/>
          <w:sz w:val="24"/>
        </w:rPr>
      </w:pPr>
      <w:r>
        <w:rPr>
          <w:rFonts w:hint="default" w:ascii="Times New Roman" w:hAnsi="Times New Roman" w:cs="Times New Roman"/>
          <w:b/>
          <w:bCs/>
          <w:color w:val="000000"/>
        </w:rPr>
        <w:t>Figure</w:t>
      </w:r>
      <w:r>
        <w:rPr>
          <w:rFonts w:hint="default" w:ascii="Times New Roman" w:hAnsi="Times New Roman" w:eastAsia="楷体" w:cs="Times New Roman"/>
          <w:b/>
          <w:bCs/>
          <w:sz w:val="24"/>
        </w:rPr>
        <w:t xml:space="preserve"> 6:</w:t>
      </w:r>
      <w:r>
        <w:rPr>
          <w:rFonts w:hint="default" w:ascii="Times New Roman" w:hAnsi="Times New Roman" w:eastAsia="楷体" w:cs="Times New Roman"/>
          <w:sz w:val="24"/>
        </w:rPr>
        <w:t xml:space="preserve"> The Top 21 Most Prominent Keywords in International IAHS Research from 2006 to 2023</w:t>
      </w:r>
    </w:p>
    <w:p w14:paraId="7F73A079">
      <w:pPr>
        <w:widowControl/>
        <w:jc w:val="center"/>
        <w:rPr>
          <w:rFonts w:hint="default" w:ascii="Times New Roman" w:hAnsi="Times New Roman" w:eastAsia="楷体" w:cs="Times New Roman"/>
          <w:sz w:val="24"/>
        </w:rPr>
      </w:pPr>
    </w:p>
    <w:p w14:paraId="20BBF977">
      <w:pPr>
        <w:pStyle w:val="3"/>
        <w:numPr>
          <w:ilvl w:val="1"/>
          <w:numId w:val="2"/>
        </w:numPr>
        <w:ind w:left="283" w:leftChars="0" w:hanging="283" w:firstLineChars="0"/>
        <w:rPr>
          <w:rFonts w:hint="default" w:ascii="Times New Roman" w:hAnsi="Times New Roman" w:cs="Times New Roman"/>
        </w:rPr>
      </w:pPr>
      <w:r>
        <w:rPr>
          <w:rFonts w:hint="default" w:ascii="Times New Roman" w:hAnsi="Times New Roman" w:cs="Times New Roman"/>
        </w:rPr>
        <w:t>Cluster Analysis of Topic Co</w:t>
      </w:r>
      <w:r>
        <w:rPr>
          <w:rFonts w:hint="default" w:ascii="Times New Roman" w:hAnsi="Times New Roman" w:cs="Times New Roman"/>
          <w:lang w:eastAsia="zh-CN"/>
        </w:rPr>
        <w:t>–</w:t>
      </w:r>
      <w:r>
        <w:rPr>
          <w:rFonts w:hint="default" w:ascii="Times New Roman" w:hAnsi="Times New Roman" w:cs="Times New Roman"/>
        </w:rPr>
        <w:t>occurrence</w:t>
      </w:r>
    </w:p>
    <w:p w14:paraId="4BFD29CE">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The cited literature within a research dataset reflects the knowledge base of a field. Topic clustering of cited literature reveals the frontier knowledge and important turning points in the evolution of that knowledge. It also clarifies the relationships between different research frontiers</w:t>
      </w:r>
      <w:r>
        <w:rPr>
          <w:rFonts w:hint="default" w:ascii="Times New Roman" w:hAnsi="Times New Roman" w:eastAsia="楷体" w:cs="Times New Roman"/>
          <w:sz w:val="24"/>
          <w:vertAlign w:val="superscript"/>
          <w:lang w:val="en-US" w:eastAsia="zh-CN"/>
        </w:rPr>
        <w:t>[15]</w:t>
      </w:r>
      <w:r>
        <w:rPr>
          <w:rFonts w:hint="default" w:ascii="Times New Roman" w:hAnsi="Times New Roman" w:eastAsia="楷体" w:cs="Times New Roman"/>
          <w:sz w:val="24"/>
        </w:rPr>
        <w:t>. To better understand the development trends and the current state of the frontier topics within GIAHS research, this study set a one</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 xml:space="preserve">year time frame and applied a logarithmic likelihood ratio algorithm to generate the clustering map of topic terms, as shown in </w:t>
      </w:r>
      <w:r>
        <w:rPr>
          <w:rFonts w:hint="default" w:ascii="Times New Roman" w:hAnsi="Times New Roman" w:eastAsia="楷体" w:cs="Times New Roman"/>
          <w:sz w:val="24"/>
          <w:lang w:eastAsia="zh-CN"/>
        </w:rPr>
        <w:t>Figure.</w:t>
      </w:r>
      <w:r>
        <w:rPr>
          <w:rFonts w:hint="default" w:ascii="Times New Roman" w:hAnsi="Times New Roman" w:eastAsia="楷体" w:cs="Times New Roman"/>
          <w:sz w:val="24"/>
        </w:rPr>
        <w:t xml:space="preserve"> 7.</w:t>
      </w:r>
    </w:p>
    <w:p w14:paraId="7C746ED0">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The clustering map highlights keywords from 2006 to 2023, with the red font representing the major research topics of that period. The map is followed by a co</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occurrence timeline of topic terms and a clustering of IAHS keywords from 2006 to 2023. Each axis represents authors and their publication times, corresponding to the topics on the right axis and the first citation time of the related documents.</w:t>
      </w:r>
    </w:p>
    <w:p w14:paraId="6648D27D">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Based on the topic term clusters and the co</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occurrence timeline analysis, we identified four well</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 xml:space="preserve">defined clusters (see </w:t>
      </w:r>
      <w:r>
        <w:rPr>
          <w:rFonts w:hint="default" w:ascii="Times New Roman" w:hAnsi="Times New Roman" w:eastAsia="楷体" w:cs="Times New Roman"/>
          <w:sz w:val="24"/>
          <w:lang w:eastAsia="zh-CN"/>
        </w:rPr>
        <w:t>Figure.</w:t>
      </w:r>
      <w:r>
        <w:rPr>
          <w:rFonts w:hint="default" w:ascii="Times New Roman" w:hAnsi="Times New Roman" w:eastAsia="楷体" w:cs="Times New Roman"/>
          <w:sz w:val="24"/>
        </w:rPr>
        <w:t xml:space="preserve"> 7, numbered 0, 2, 3, and 9). The smaller the number, the more keywords are included in the cluster. Each cluster contains multiple closely related terms. Other cluster results, which have been summarized previously, are excluded. The colors on the timeline correspond to the citation documents associated with each node, representing different years. The same color links authors collaborating on the same topic across different years</w:t>
      </w:r>
      <w:r>
        <w:rPr>
          <w:rFonts w:hint="default" w:ascii="Times New Roman" w:hAnsi="Times New Roman" w:eastAsia="楷体" w:cs="Times New Roman"/>
          <w:sz w:val="24"/>
          <w:vertAlign w:val="superscript"/>
          <w:lang w:val="en-US" w:eastAsia="zh-CN"/>
        </w:rPr>
        <w:t>[23,</w:t>
      </w:r>
      <w:r>
        <w:rPr>
          <w:rFonts w:hint="eastAsia" w:eastAsia="楷体" w:cs="Times New Roman"/>
          <w:sz w:val="24"/>
          <w:vertAlign w:val="superscript"/>
          <w:lang w:val="en-US" w:eastAsia="zh-CN"/>
        </w:rPr>
        <w:t>59</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w:t>
      </w:r>
    </w:p>
    <w:p w14:paraId="429E3C55">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These clusters reflect the research hotspots in international IAHS from 2006 to 2023, including:</w:t>
      </w:r>
    </w:p>
    <w:p w14:paraId="618909C9">
      <w:pPr>
        <w:tabs>
          <w:tab w:val="left" w:pos="1974"/>
        </w:tabs>
        <w:adjustRightInd w:val="0"/>
        <w:spacing w:before="120" w:after="240"/>
        <w:jc w:val="left"/>
        <w:rPr>
          <w:rFonts w:hint="default" w:ascii="Times New Roman" w:hAnsi="Times New Roman" w:eastAsia="楷体" w:cs="Times New Roman"/>
          <w:sz w:val="24"/>
        </w:rPr>
      </w:pPr>
      <w:r>
        <w:rPr>
          <w:rFonts w:hint="default" w:ascii="Times New Roman" w:hAnsi="Times New Roman" w:eastAsia="楷体" w:cs="Times New Roman"/>
          <w:sz w:val="24"/>
        </w:rPr>
        <w:t>0# Global Important Agricultural Heritage Systems</w:t>
      </w:r>
    </w:p>
    <w:p w14:paraId="6E2EE248">
      <w:pPr>
        <w:tabs>
          <w:tab w:val="left" w:pos="1974"/>
        </w:tabs>
        <w:adjustRightInd w:val="0"/>
        <w:spacing w:before="120" w:after="240"/>
        <w:jc w:val="left"/>
        <w:rPr>
          <w:rFonts w:hint="default" w:ascii="Times New Roman" w:hAnsi="Times New Roman" w:eastAsia="楷体" w:cs="Times New Roman"/>
          <w:sz w:val="24"/>
        </w:rPr>
      </w:pPr>
      <w:r>
        <w:rPr>
          <w:rFonts w:hint="default" w:ascii="Times New Roman" w:hAnsi="Times New Roman" w:eastAsia="楷体" w:cs="Times New Roman"/>
          <w:sz w:val="24"/>
        </w:rPr>
        <w:t>2# Tourism</w:t>
      </w:r>
    </w:p>
    <w:p w14:paraId="6A99C66A">
      <w:pPr>
        <w:tabs>
          <w:tab w:val="left" w:pos="1974"/>
        </w:tabs>
        <w:adjustRightInd w:val="0"/>
        <w:spacing w:before="120" w:after="240"/>
        <w:jc w:val="left"/>
        <w:rPr>
          <w:rFonts w:hint="default" w:ascii="Times New Roman" w:hAnsi="Times New Roman" w:eastAsia="楷体" w:cs="Times New Roman"/>
          <w:sz w:val="24"/>
        </w:rPr>
      </w:pPr>
      <w:r>
        <w:rPr>
          <w:rFonts w:hint="default" w:ascii="Times New Roman" w:hAnsi="Times New Roman" w:eastAsia="楷体" w:cs="Times New Roman"/>
          <w:sz w:val="24"/>
        </w:rPr>
        <w:t>3# Livelihood Assets</w:t>
      </w:r>
    </w:p>
    <w:p w14:paraId="2708C86B">
      <w:pPr>
        <w:tabs>
          <w:tab w:val="left" w:pos="1974"/>
        </w:tabs>
        <w:adjustRightInd w:val="0"/>
        <w:spacing w:before="120" w:after="240"/>
        <w:jc w:val="left"/>
        <w:rPr>
          <w:rFonts w:hint="default" w:ascii="Times New Roman" w:hAnsi="Times New Roman" w:eastAsia="楷体" w:cs="Times New Roman"/>
          <w:sz w:val="24"/>
        </w:rPr>
      </w:pPr>
      <w:r>
        <w:rPr>
          <w:rFonts w:hint="default" w:ascii="Times New Roman" w:hAnsi="Times New Roman" w:eastAsia="楷体" w:cs="Times New Roman"/>
          <w:sz w:val="24"/>
        </w:rPr>
        <w:t>9# Direct Georeferencing</w:t>
      </w:r>
    </w:p>
    <w:p w14:paraId="57EBE6F3">
      <w:pPr>
        <w:tabs>
          <w:tab w:val="left" w:pos="1974"/>
        </w:tabs>
        <w:adjustRightInd w:val="0"/>
        <w:spacing w:before="120" w:after="240"/>
        <w:jc w:val="center"/>
        <w:rPr>
          <w:rFonts w:hint="default" w:ascii="Times New Roman" w:hAnsi="Times New Roman" w:eastAsia="楷体" w:cs="Times New Roman"/>
          <w:sz w:val="24"/>
        </w:rPr>
      </w:pPr>
      <w:r>
        <w:rPr>
          <w:rFonts w:hint="default" w:ascii="Times New Roman" w:hAnsi="Times New Roman" w:cs="Times New Roman"/>
        </w:rPr>
        <w:drawing>
          <wp:inline distT="0" distB="0" distL="0" distR="0">
            <wp:extent cx="5274310" cy="2570480"/>
            <wp:effectExtent l="0" t="0" r="2540" b="127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stretch>
                      <a:fillRect/>
                    </a:stretch>
                  </pic:blipFill>
                  <pic:spPr>
                    <a:xfrm>
                      <a:off x="0" y="0"/>
                      <a:ext cx="5274310" cy="2570480"/>
                    </a:xfrm>
                    <a:prstGeom prst="rect">
                      <a:avLst/>
                    </a:prstGeom>
                    <a:noFill/>
                    <a:ln>
                      <a:noFill/>
                    </a:ln>
                  </pic:spPr>
                </pic:pic>
              </a:graphicData>
            </a:graphic>
          </wp:inline>
        </w:drawing>
      </w:r>
    </w:p>
    <w:p w14:paraId="1542631D">
      <w:pPr>
        <w:tabs>
          <w:tab w:val="left" w:pos="1974"/>
        </w:tabs>
        <w:adjustRightInd w:val="0"/>
        <w:spacing w:after="60"/>
        <w:jc w:val="center"/>
        <w:rPr>
          <w:rFonts w:hint="default" w:ascii="Times New Roman" w:hAnsi="Times New Roman" w:eastAsia="楷体" w:cs="Times New Roman"/>
          <w:sz w:val="24"/>
        </w:rPr>
      </w:pPr>
      <w:r>
        <w:rPr>
          <w:rFonts w:hint="default" w:ascii="Times New Roman" w:hAnsi="Times New Roman" w:eastAsia="楷体" w:cs="Times New Roman"/>
          <w:b/>
          <w:bCs/>
          <w:sz w:val="24"/>
          <w:lang w:eastAsia="zh-CN"/>
        </w:rPr>
        <w:t>Figure.</w:t>
      </w:r>
      <w:r>
        <w:rPr>
          <w:rFonts w:hint="default" w:ascii="Times New Roman" w:hAnsi="Times New Roman" w:eastAsia="楷体" w:cs="Times New Roman"/>
          <w:b/>
          <w:bCs/>
          <w:sz w:val="24"/>
        </w:rPr>
        <w:t xml:space="preserve"> 7:</w:t>
      </w:r>
      <w:r>
        <w:rPr>
          <w:rFonts w:hint="default" w:ascii="Times New Roman" w:hAnsi="Times New Roman" w:eastAsia="楷体" w:cs="Times New Roman"/>
          <w:sz w:val="24"/>
        </w:rPr>
        <w:t xml:space="preserve"> Co</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occurrence Timeline of International IAHS Topics from 2006 to 2023</w:t>
      </w:r>
    </w:p>
    <w:p w14:paraId="15980651">
      <w:pPr>
        <w:tabs>
          <w:tab w:val="left" w:pos="1974"/>
        </w:tabs>
        <w:adjustRightInd w:val="0"/>
        <w:spacing w:after="60"/>
        <w:jc w:val="center"/>
        <w:rPr>
          <w:rFonts w:hint="default" w:ascii="Times New Roman" w:hAnsi="Times New Roman" w:eastAsia="楷体" w:cs="Times New Roman"/>
          <w:sz w:val="24"/>
        </w:rPr>
      </w:pPr>
      <w:r>
        <w:rPr>
          <w:rFonts w:hint="default" w:ascii="Times New Roman" w:hAnsi="Times New Roman" w:cs="Times New Roman"/>
        </w:rPr>
        <w:drawing>
          <wp:inline distT="0" distB="0" distL="0" distR="0">
            <wp:extent cx="4239260" cy="2444750"/>
            <wp:effectExtent l="0" t="0" r="8890" b="12700"/>
            <wp:docPr id="3" name="图片 1" descr="修改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修改过 (2)"/>
                    <pic:cNvPicPr>
                      <a:picLocks noChangeAspect="1"/>
                    </pic:cNvPicPr>
                  </pic:nvPicPr>
                  <pic:blipFill>
                    <a:blip r:embed="rId16"/>
                    <a:stretch>
                      <a:fillRect/>
                    </a:stretch>
                  </pic:blipFill>
                  <pic:spPr>
                    <a:xfrm>
                      <a:off x="0" y="0"/>
                      <a:ext cx="4239260" cy="2444750"/>
                    </a:xfrm>
                    <a:prstGeom prst="rect">
                      <a:avLst/>
                    </a:prstGeom>
                  </pic:spPr>
                </pic:pic>
              </a:graphicData>
            </a:graphic>
          </wp:inline>
        </w:drawing>
      </w:r>
    </w:p>
    <w:p w14:paraId="2612A8FE">
      <w:pPr>
        <w:tabs>
          <w:tab w:val="left" w:pos="1974"/>
        </w:tabs>
        <w:adjustRightInd w:val="0"/>
        <w:spacing w:after="60"/>
        <w:jc w:val="center"/>
        <w:rPr>
          <w:rFonts w:hint="default" w:ascii="Times New Roman" w:hAnsi="Times New Roman" w:eastAsia="楷体" w:cs="Times New Roman"/>
          <w:sz w:val="24"/>
        </w:rPr>
      </w:pPr>
      <w:r>
        <w:rPr>
          <w:rFonts w:hint="default" w:ascii="Times New Roman" w:hAnsi="Times New Roman" w:eastAsia="楷体" w:cs="Times New Roman"/>
          <w:b/>
          <w:bCs/>
          <w:sz w:val="24"/>
        </w:rPr>
        <w:t>Figure. 8:</w:t>
      </w:r>
      <w:r>
        <w:rPr>
          <w:rFonts w:hint="default" w:ascii="Times New Roman" w:hAnsi="Times New Roman" w:eastAsia="楷体" w:cs="Times New Roman"/>
          <w:sz w:val="24"/>
        </w:rPr>
        <w:t xml:space="preserve"> Clustering of International IAHS Topic Keywords from 2006 to 2023</w:t>
      </w:r>
    </w:p>
    <w:p w14:paraId="1867FE43">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0# Global Important Agricultural Heritage Systems (GIAHS): According to the citation frequency analysis of core literature, key studies focus on the transmission mechanisms of traditional knowledge at heritage sites, the dynamic adaptation of heritage and protection strategies, and the tourism development and utilization of heritage resources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4</w:t>
      </w:r>
      <w:r>
        <w:rPr>
          <w:rFonts w:hint="default" w:ascii="Times New Roman" w:hAnsi="Times New Roman" w:eastAsia="楷体" w:cs="Times New Roman"/>
          <w:sz w:val="24"/>
          <w:vertAlign w:val="superscript"/>
          <w:lang w:val="en-US" w:eastAsia="zh-CN"/>
        </w:rPr>
        <w:t>8,</w:t>
      </w:r>
      <w:r>
        <w:rPr>
          <w:rFonts w:hint="eastAsia" w:eastAsia="楷体" w:cs="Times New Roman"/>
          <w:sz w:val="24"/>
          <w:vertAlign w:val="superscript"/>
          <w:lang w:val="en-US" w:eastAsia="zh-CN"/>
        </w:rPr>
        <w:t>5</w:t>
      </w:r>
      <w:r>
        <w:rPr>
          <w:rFonts w:hint="default" w:ascii="Times New Roman" w:hAnsi="Times New Roman" w:eastAsia="楷体" w:cs="Times New Roman"/>
          <w:sz w:val="24"/>
          <w:vertAlign w:val="superscript"/>
          <w:lang w:val="en-US" w:eastAsia="zh-CN"/>
        </w:rPr>
        <w:t>2]</w:t>
      </w:r>
      <w:r>
        <w:rPr>
          <w:rFonts w:hint="default" w:ascii="Times New Roman" w:hAnsi="Times New Roman" w:eastAsia="楷体" w:cs="Times New Roman"/>
          <w:sz w:val="24"/>
        </w:rPr>
        <w:t>.</w:t>
      </w:r>
    </w:p>
    <w:p w14:paraId="7CD91F12">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2# Tourism: In core literature, scholars primarily explore the relationship between tourism and farmers' livelihood capital</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60</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61</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as well as the sustainable development of tourism resources. In terms of livelihood capital, research mainly focuses on ecological compensation and government policies supporting livelihood sustainability. Regarding tourism resources and sustainability, scholars examine the impact of tourism on farmers' sustainable income and livelihood sources, along with the identification, development, and protection of tourism resources.</w:t>
      </w:r>
    </w:p>
    <w:p w14:paraId="190FBFF9">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3# Livelihood Assets: Core journal articles focus on the capital investments of community residents, including the measurement of farmers' livelihood capital, land use, sustainable livelihoods, and labor migration. The research methods employed include case studies, coupling measurements, and others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62</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63</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w:t>
      </w:r>
    </w:p>
    <w:p w14:paraId="7DC68EF5">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9# Direct Georeferencing: Core journal literature concentrates on various perspectives, including remote sensing technology measurement, topographic map time and spatial measurement, hydrological models, and rainfall</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runoff models. Key papers primarily focus on the direct application of geographic measurement tools and methods in the IAHS field, as well as the mechanisms by which these tools and methods contribute to the development of IAHS</w:t>
      </w:r>
      <w:r>
        <w:rPr>
          <w:rFonts w:hint="default" w:ascii="Times New Roman" w:hAnsi="Times New Roman" w:eastAsia="楷体" w:cs="Times New Roman"/>
          <w:sz w:val="24"/>
          <w:vertAlign w:val="superscript"/>
          <w:lang w:val="en-US" w:eastAsia="zh-CN"/>
        </w:rPr>
        <w:t>[5,17]</w:t>
      </w:r>
      <w:r>
        <w:rPr>
          <w:rFonts w:hint="default" w:ascii="Times New Roman" w:hAnsi="Times New Roman" w:eastAsia="楷体" w:cs="Times New Roman"/>
          <w:sz w:val="24"/>
        </w:rPr>
        <w:t>.</w:t>
      </w:r>
    </w:p>
    <w:p w14:paraId="5903E4F6">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Overall, from the perspective of co</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occurrence clustering analysis, current global research on Important Agricultural Heritage Systems mainly centers on integrated studies of protection and sustainable development. Additionally, scholars are focusing on other areas such as tourism, livelihood assets, and geographic information analysis of international agricultural heritage.</w:t>
      </w:r>
    </w:p>
    <w:p w14:paraId="0A5407A4">
      <w:pPr>
        <w:pStyle w:val="2"/>
        <w:numPr>
          <w:ilvl w:val="0"/>
          <w:numId w:val="2"/>
        </w:numPr>
        <w:ind w:left="567" w:leftChars="0" w:hanging="567" w:firstLineChars="0"/>
        <w:rPr>
          <w:rFonts w:hint="default" w:ascii="Times New Roman" w:hAnsi="Times New Roman" w:cs="Times New Roman"/>
        </w:rPr>
      </w:pPr>
      <w:r>
        <w:rPr>
          <w:rFonts w:hint="default" w:ascii="Times New Roman" w:hAnsi="Times New Roman" w:cs="Times New Roman"/>
        </w:rPr>
        <w:t>Conclusion and Outlook</w:t>
      </w:r>
    </w:p>
    <w:p w14:paraId="2B6979E9">
      <w:pPr>
        <w:tabs>
          <w:tab w:val="left" w:pos="1974"/>
        </w:tabs>
        <w:adjustRightInd w:val="0"/>
        <w:spacing w:before="120" w:after="240"/>
        <w:jc w:val="both"/>
        <w:rPr>
          <w:rFonts w:hint="default" w:ascii="Times New Roman" w:hAnsi="Times New Roman" w:cs="Times New Roman"/>
        </w:rPr>
      </w:pPr>
      <w:r>
        <w:rPr>
          <w:rFonts w:hint="default" w:ascii="Times New Roman" w:hAnsi="Times New Roman" w:eastAsia="楷体" w:cs="Times New Roman"/>
          <w:sz w:val="24"/>
        </w:rPr>
        <w:t>This study utilizes the bibliometric visualization software CiteSpace 6.2.R6 to analyze 537 IAHS research papers from the Web of Science core dataset, creating a visual network analysis that includes distributions of authors, institutions, countries, keywords, and subject terms. Our analysis, based on the visual distribution of authors, institutions, and countries, provides an overview of international IAHS research from 2006 to 2023. Building upon this, we explored the topic and keyword distributions, and conducted an in</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depth analysis of the research trends and hotspots in international IAHS research. The main conclusions are as follows:</w:t>
      </w:r>
    </w:p>
    <w:p w14:paraId="08C3EF4E">
      <w:pPr>
        <w:pStyle w:val="3"/>
        <w:numPr>
          <w:ilvl w:val="1"/>
          <w:numId w:val="2"/>
        </w:numPr>
        <w:ind w:left="283" w:leftChars="0" w:hanging="283" w:firstLineChars="0"/>
        <w:rPr>
          <w:rFonts w:hint="default" w:ascii="Times New Roman" w:hAnsi="Times New Roman" w:cs="Times New Roman"/>
        </w:rPr>
      </w:pPr>
      <w:r>
        <w:rPr>
          <w:rFonts w:hint="default" w:ascii="Times New Roman" w:hAnsi="Times New Roman" w:cs="Times New Roman"/>
        </w:rPr>
        <w:t>Results</w:t>
      </w:r>
    </w:p>
    <w:p w14:paraId="1A7F2C71">
      <w:pPr>
        <w:pStyle w:val="4"/>
        <w:rPr>
          <w:rFonts w:hint="default" w:ascii="Times New Roman" w:hAnsi="Times New Roman" w:eastAsia="Times New Roman" w:cs="Times New Roman"/>
          <w:lang w:val="en-GB" w:eastAsia="en-GB"/>
        </w:rPr>
      </w:pPr>
      <w:r>
        <w:rPr>
          <w:rFonts w:hint="default" w:ascii="Times New Roman" w:hAnsi="Times New Roman" w:eastAsia="Times New Roman" w:cs="Times New Roman"/>
          <w:lang w:val="en-GB" w:eastAsia="en-GB"/>
        </w:rPr>
        <w:t>Known Results</w:t>
      </w:r>
    </w:p>
    <w:p w14:paraId="39367B79">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b/>
          <w:bCs/>
          <w:sz w:val="24"/>
          <w:lang w:val="en-US" w:eastAsia="zh-CN"/>
        </w:rPr>
        <w:t xml:space="preserve">(1) </w:t>
      </w:r>
      <w:r>
        <w:rPr>
          <w:rFonts w:hint="default" w:ascii="Times New Roman" w:hAnsi="Times New Roman" w:eastAsia="楷体" w:cs="Times New Roman"/>
          <w:b/>
          <w:bCs/>
          <w:sz w:val="24"/>
        </w:rPr>
        <w:t>Research Phases and Publication Trends:</w:t>
      </w:r>
      <w:r>
        <w:rPr>
          <w:rFonts w:hint="default" w:ascii="Times New Roman" w:hAnsi="Times New Roman" w:eastAsia="楷体" w:cs="Times New Roman"/>
          <w:sz w:val="24"/>
        </w:rPr>
        <w:t xml:space="preserve"> The international IAHS research from 2006 to 2023 can be divided into two distinct phases: the fluctuating growth phase (2006–2014) and the stable growth phase (2014–2023). While the overall trend shows an increase in publications, the number of IAHS papers remains relatively low compared to other academic fields.</w:t>
      </w:r>
    </w:p>
    <w:p w14:paraId="71C697C1">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b/>
          <w:bCs/>
          <w:sz w:val="24"/>
          <w:lang w:val="en-US" w:eastAsia="zh-CN"/>
        </w:rPr>
        <w:t xml:space="preserve">(2) </w:t>
      </w:r>
      <w:r>
        <w:rPr>
          <w:rFonts w:hint="default" w:ascii="Times New Roman" w:hAnsi="Times New Roman" w:eastAsia="楷体" w:cs="Times New Roman"/>
          <w:b/>
          <w:bCs/>
          <w:sz w:val="24"/>
        </w:rPr>
        <w:t>Institutional Network in GIAHS:</w:t>
      </w:r>
      <w:r>
        <w:rPr>
          <w:rFonts w:hint="default" w:ascii="Times New Roman" w:hAnsi="Times New Roman" w:eastAsia="楷体" w:cs="Times New Roman"/>
          <w:sz w:val="24"/>
        </w:rPr>
        <w:t xml:space="preserve"> The major institutions involved in IAHS research include McMaster University, University of Twente, the Chinese Academy of Sciences, University of Chinese Academy of Sciences, and the University of Toronto. Regarding publication by country, Canada, China, the United States, the Netherlands, the United Kingdom, Italy, and Australia lead in the number of published papers. Despite China’s high volume of publications, its centrality is relatively low, indicating the need for China to strengthen international scientific collaboration to enhance its global influence in GIAHS research.</w:t>
      </w:r>
    </w:p>
    <w:p w14:paraId="3E87641B">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b/>
          <w:bCs/>
          <w:sz w:val="24"/>
          <w:lang w:val="en-US" w:eastAsia="zh-CN"/>
        </w:rPr>
        <w:t>(</w:t>
      </w:r>
      <w:r>
        <w:rPr>
          <w:rFonts w:hint="default" w:ascii="Times New Roman" w:hAnsi="Times New Roman" w:eastAsia="楷体" w:cs="Times New Roman"/>
          <w:b/>
          <w:bCs/>
          <w:sz w:val="24"/>
        </w:rPr>
        <w:t>3</w:t>
      </w:r>
      <w:r>
        <w:rPr>
          <w:rFonts w:hint="default" w:ascii="Times New Roman" w:hAnsi="Times New Roman" w:eastAsia="楷体" w:cs="Times New Roman"/>
          <w:b/>
          <w:bCs/>
          <w:sz w:val="24"/>
          <w:lang w:val="en-US" w:eastAsia="zh-CN"/>
        </w:rPr>
        <w:t xml:space="preserve">) </w:t>
      </w:r>
      <w:r>
        <w:rPr>
          <w:rFonts w:hint="default" w:ascii="Times New Roman" w:hAnsi="Times New Roman" w:eastAsia="楷体" w:cs="Times New Roman"/>
          <w:b/>
          <w:bCs/>
          <w:sz w:val="24"/>
        </w:rPr>
        <w:t>Author Collaboration and Research Networks:</w:t>
      </w:r>
      <w:r>
        <w:rPr>
          <w:rFonts w:hint="default" w:ascii="Times New Roman" w:hAnsi="Times New Roman" w:eastAsia="楷体" w:cs="Times New Roman"/>
          <w:sz w:val="24"/>
        </w:rPr>
        <w:t xml:space="preserve"> IAHS research involves multiple author groups, with key contributors from countries such as Canada, China, Italy, Japan, the United States, the Netherlands, and the United Kingdom. However, a global core author group has yet to form, suggesting significant potential for broader international collaboration in the field.</w:t>
      </w:r>
    </w:p>
    <w:p w14:paraId="39089B33">
      <w:pPr>
        <w:tabs>
          <w:tab w:val="left" w:pos="1974"/>
        </w:tabs>
        <w:adjustRightInd w:val="0"/>
        <w:spacing w:before="120" w:after="240"/>
        <w:jc w:val="both"/>
        <w:rPr>
          <w:rFonts w:hint="default" w:ascii="Times New Roman" w:hAnsi="Times New Roman" w:cs="Times New Roman"/>
        </w:rPr>
      </w:pPr>
      <w:r>
        <w:rPr>
          <w:rFonts w:hint="default" w:ascii="Times New Roman" w:hAnsi="Times New Roman" w:eastAsia="楷体" w:cs="Times New Roman"/>
          <w:b/>
          <w:bCs/>
          <w:sz w:val="24"/>
          <w:lang w:val="en-US" w:eastAsia="zh-CN"/>
        </w:rPr>
        <w:t xml:space="preserve">(4) </w:t>
      </w:r>
      <w:r>
        <w:rPr>
          <w:rFonts w:hint="default" w:ascii="Times New Roman" w:hAnsi="Times New Roman" w:eastAsia="楷体" w:cs="Times New Roman"/>
          <w:b/>
          <w:bCs/>
          <w:sz w:val="24"/>
        </w:rPr>
        <w:t>Highly Cited Authors and Journals:</w:t>
      </w:r>
      <w:r>
        <w:rPr>
          <w:rFonts w:hint="default" w:ascii="Times New Roman" w:hAnsi="Times New Roman" w:eastAsia="楷体" w:cs="Times New Roman"/>
          <w:sz w:val="24"/>
        </w:rPr>
        <w:t xml:space="preserve"> In the Web of Science core collection, the most frequently cited author in the IAHS field is ANONYMOUS, whose works have been cited 285 times. The most cited journals are Water Resources Research and Journal of Hydrology, each with 124 citations, with impact factors of 5.4 (Q1) and 6.4 (Q1) in 2023. In terms of keywords, the most prominent terms in international IAHS research include agricultural heritage systems, regeneration, agriculture, agroforestry systems, dry stone walls, social capital, instability, and agricultural biodiversity. From 2006 to 2023, the research focused mainly on GIAHS, tourism, livelihood assets, and direct georeferencing. Overall, the research papers are highly concentrated in areas such as geography, tourism, capital donations, and biodiversity.</w:t>
      </w:r>
    </w:p>
    <w:p w14:paraId="1F02A2F0">
      <w:pPr>
        <w:pStyle w:val="4"/>
        <w:rPr>
          <w:rFonts w:hint="default" w:ascii="Times New Roman" w:hAnsi="Times New Roman" w:eastAsia="Times New Roman" w:cs="Times New Roman"/>
          <w:lang w:val="en-GB" w:eastAsia="en-GB"/>
        </w:rPr>
      </w:pPr>
      <w:r>
        <w:rPr>
          <w:rFonts w:hint="default" w:ascii="Times New Roman" w:hAnsi="Times New Roman" w:eastAsia="Times New Roman" w:cs="Times New Roman"/>
          <w:lang w:val="en-GB" w:eastAsia="en-GB"/>
        </w:rPr>
        <w:t>Unexpected Results</w:t>
      </w:r>
    </w:p>
    <w:p w14:paraId="2279029D">
      <w:pPr>
        <w:tabs>
          <w:tab w:val="left" w:pos="1974"/>
        </w:tabs>
        <w:adjustRightInd w:val="0"/>
        <w:spacing w:before="120" w:after="240"/>
        <w:jc w:val="left"/>
        <w:rPr>
          <w:rFonts w:hint="default" w:ascii="Times New Roman" w:hAnsi="Times New Roman" w:eastAsia="楷体" w:cs="Times New Roman"/>
          <w:sz w:val="24"/>
        </w:rPr>
      </w:pPr>
      <w:r>
        <w:rPr>
          <w:rFonts w:hint="default" w:ascii="Times New Roman" w:hAnsi="Times New Roman" w:eastAsia="楷体" w:cs="Times New Roman"/>
          <w:sz w:val="24"/>
        </w:rPr>
        <w:t>Through the analysis of cited literature, several unexpected spatial connections and differences have emerged:</w:t>
      </w:r>
    </w:p>
    <w:p w14:paraId="66729067">
      <w:pPr>
        <w:numPr>
          <w:ilvl w:val="0"/>
          <w:numId w:val="0"/>
        </w:num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b/>
          <w:bCs/>
          <w:sz w:val="24"/>
          <w:lang w:val="en-US" w:eastAsia="zh-CN"/>
        </w:rPr>
        <w:t xml:space="preserve">(1) </w:t>
      </w:r>
      <w:r>
        <w:rPr>
          <w:rFonts w:hint="default" w:ascii="Times New Roman" w:hAnsi="Times New Roman" w:eastAsia="楷体" w:cs="Times New Roman"/>
          <w:b/>
          <w:bCs/>
          <w:sz w:val="24"/>
        </w:rPr>
        <w:t xml:space="preserve">Geographical Distribution of Research: </w:t>
      </w:r>
      <w:r>
        <w:rPr>
          <w:rFonts w:hint="default" w:ascii="Times New Roman" w:hAnsi="Times New Roman" w:eastAsia="楷体" w:cs="Times New Roman"/>
          <w:sz w:val="24"/>
        </w:rPr>
        <w:t>The geographical distribution of GIAHS research authors is predominantly concentrated in Asia, including countries such as China, Japan, and India. In Europe, key countries include Italy, the United Kingdom, Germany, France, Sweden, Spain, Denmark, and Belgium. In Africa, research is mainly concentrated in South Africa and Ethiopia. In Oceania, Australia is the primary contributor, and in the Americas, research is led by North America (Canada and the United States) and South America (including Chile and Brazil).</w:t>
      </w:r>
    </w:p>
    <w:p w14:paraId="201D3552">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b/>
          <w:bCs/>
          <w:sz w:val="24"/>
          <w:lang w:val="en-US" w:eastAsia="zh-CN"/>
        </w:rPr>
        <w:t xml:space="preserve">(2) </w:t>
      </w:r>
      <w:r>
        <w:rPr>
          <w:rFonts w:hint="default" w:ascii="Times New Roman" w:hAnsi="Times New Roman" w:eastAsia="楷体" w:cs="Times New Roman"/>
          <w:b/>
          <w:bCs/>
          <w:sz w:val="24"/>
        </w:rPr>
        <w:t xml:space="preserve">Research Focus by Country: </w:t>
      </w:r>
      <w:r>
        <w:rPr>
          <w:rFonts w:hint="default" w:ascii="Times New Roman" w:hAnsi="Times New Roman" w:eastAsia="楷体" w:cs="Times New Roman"/>
          <w:sz w:val="24"/>
        </w:rPr>
        <w:t>Authors from China, Canada, Japan, Italy, Germany, France, the United States, and Australia have made significant contributions to GIAHS research. Each country's scholars focus on different aspects of agricultural heritage systems. For example, U.S. scholars tend to focus more on agricultural heritage systems in other regions, such as in Africa</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64</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64</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and Europe</w:t>
      </w:r>
      <w:r>
        <w:rPr>
          <w:rFonts w:hint="default" w:ascii="Times New Roman" w:hAnsi="Times New Roman" w:eastAsia="楷体" w:cs="Times New Roman"/>
          <w:sz w:val="24"/>
          <w:vertAlign w:val="superscript"/>
          <w:lang w:val="en-US" w:eastAsia="zh-CN"/>
        </w:rPr>
        <w:t>[6</w:t>
      </w:r>
      <w:r>
        <w:rPr>
          <w:rFonts w:hint="eastAsia" w:eastAsia="楷体" w:cs="Times New Roman"/>
          <w:sz w:val="24"/>
          <w:vertAlign w:val="superscript"/>
          <w:lang w:val="en-US" w:eastAsia="zh-CN"/>
        </w:rPr>
        <w:t>6</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particularly African agricultural heritage, while doing less research on their own country's agricultural heritage. Their studies often compare metropolitan or urban farm systems and explore topics like biodiversity in traditional agricultural systems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67</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agricultural policy</w:t>
      </w:r>
      <w:r>
        <w:rPr>
          <w:rFonts w:hint="default" w:ascii="Times New Roman" w:hAnsi="Times New Roman" w:eastAsia="楷体" w:cs="Times New Roman"/>
          <w:sz w:val="24"/>
          <w:vertAlign w:val="superscript"/>
          <w:lang w:val="en-US" w:eastAsia="zh-CN"/>
        </w:rPr>
        <w:t>[6</w:t>
      </w:r>
      <w:r>
        <w:rPr>
          <w:rFonts w:hint="eastAsia" w:eastAsia="楷体" w:cs="Times New Roman"/>
          <w:sz w:val="24"/>
          <w:vertAlign w:val="superscript"/>
          <w:lang w:val="en-US" w:eastAsia="zh-CN"/>
        </w:rPr>
        <w:t>6</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food security</w:t>
      </w:r>
      <w:r>
        <w:rPr>
          <w:rFonts w:hint="default" w:ascii="Times New Roman" w:hAnsi="Times New Roman" w:eastAsia="楷体" w:cs="Times New Roman"/>
          <w:sz w:val="24"/>
          <w:vertAlign w:val="superscript"/>
          <w:lang w:val="en-US" w:eastAsia="zh-CN"/>
        </w:rPr>
        <w:t>[39]</w:t>
      </w:r>
      <w:r>
        <w:rPr>
          <w:rFonts w:hint="default" w:ascii="Times New Roman" w:hAnsi="Times New Roman" w:eastAsia="楷体" w:cs="Times New Roman"/>
          <w:sz w:val="24"/>
        </w:rPr>
        <w:t xml:space="preserve">, and geographical exploration </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6</w:t>
      </w:r>
      <w:r>
        <w:rPr>
          <w:rFonts w:hint="default" w:ascii="Times New Roman" w:hAnsi="Times New Roman" w:eastAsia="楷体" w:cs="Times New Roman"/>
          <w:sz w:val="24"/>
          <w:vertAlign w:val="superscript"/>
          <w:lang w:val="en-US" w:eastAsia="zh-CN"/>
        </w:rPr>
        <w:t>3]</w:t>
      </w:r>
      <w:r>
        <w:rPr>
          <w:rFonts w:hint="default" w:ascii="Times New Roman" w:hAnsi="Times New Roman" w:eastAsia="楷体" w:cs="Times New Roman"/>
          <w:sz w:val="24"/>
        </w:rPr>
        <w:t>. This is likely due to the United States' historical focus on industrial heritage, with relatively fewer agricultural heritage sites.</w:t>
      </w:r>
    </w:p>
    <w:p w14:paraId="7E966625">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b/>
          <w:bCs/>
          <w:sz w:val="24"/>
          <w:lang w:val="en-US" w:eastAsia="zh-CN"/>
        </w:rPr>
        <w:t xml:space="preserve">(3) </w:t>
      </w:r>
      <w:r>
        <w:rPr>
          <w:rFonts w:hint="default" w:ascii="Times New Roman" w:hAnsi="Times New Roman" w:eastAsia="楷体" w:cs="Times New Roman"/>
          <w:b/>
          <w:bCs/>
          <w:sz w:val="24"/>
        </w:rPr>
        <w:t xml:space="preserve">Unique Focus in Australia and Japan: </w:t>
      </w:r>
      <w:r>
        <w:rPr>
          <w:rFonts w:hint="default" w:ascii="Times New Roman" w:hAnsi="Times New Roman" w:eastAsia="楷体" w:cs="Times New Roman"/>
          <w:sz w:val="24"/>
        </w:rPr>
        <w:t>Australian scholars have a distinct focus on environmental issues near World Heritage sites like the Great Barrier Reef, including water pollution, recycling, and environmental degradation</w:t>
      </w:r>
      <w:r>
        <w:rPr>
          <w:rFonts w:hint="default" w:ascii="Times New Roman" w:hAnsi="Times New Roman" w:eastAsia="楷体" w:cs="Times New Roman"/>
          <w:sz w:val="24"/>
          <w:vertAlign w:val="superscript"/>
          <w:lang w:val="en-US" w:eastAsia="zh-CN"/>
        </w:rPr>
        <w:t>[42,</w:t>
      </w:r>
      <w:r>
        <w:rPr>
          <w:rFonts w:hint="eastAsia" w:eastAsia="楷体" w:cs="Times New Roman"/>
          <w:sz w:val="24"/>
          <w:vertAlign w:val="superscript"/>
          <w:lang w:val="en-US" w:eastAsia="zh-CN"/>
        </w:rPr>
        <w:t>68</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The long coastline of Australia and its rich biodiversity, particularly the Reef, make water quality an important area of concern. In Asia, Japan and China have rich agricultural heritage, with their GIAHS projects starting earlier, leading to more comprehensive research on agricultural heritage. Early Japanese research focused on agricultural products, tourism, ecosystems, and environmental management</w:t>
      </w:r>
      <w:r>
        <w:rPr>
          <w:rFonts w:hint="default" w:ascii="Times New Roman" w:hAnsi="Times New Roman" w:eastAsia="楷体" w:cs="Times New Roman"/>
          <w:sz w:val="24"/>
          <w:vertAlign w:val="superscript"/>
          <w:lang w:val="en-US" w:eastAsia="zh-CN"/>
        </w:rPr>
        <w:t>[19,</w:t>
      </w:r>
      <w:r>
        <w:rPr>
          <w:rFonts w:hint="eastAsia" w:eastAsia="楷体" w:cs="Times New Roman"/>
          <w:sz w:val="24"/>
          <w:vertAlign w:val="superscript"/>
          <w:lang w:val="en-US" w:eastAsia="zh-CN"/>
        </w:rPr>
        <w:t>69</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70</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later shifting to landscape studies, such as the "Chūzan" system, a regional unit that integrates agriculture, forestry, and fishery activities centered around mid</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mountain areas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7</w:t>
      </w:r>
      <w:r>
        <w:rPr>
          <w:rFonts w:hint="default" w:ascii="Times New Roman" w:hAnsi="Times New Roman" w:eastAsia="楷体" w:cs="Times New Roman"/>
          <w:sz w:val="24"/>
          <w:vertAlign w:val="superscript"/>
          <w:lang w:val="en-US" w:eastAsia="zh-CN"/>
        </w:rPr>
        <w:t>1]</w:t>
      </w:r>
      <w:r>
        <w:rPr>
          <w:rFonts w:hint="default" w:ascii="Times New Roman" w:hAnsi="Times New Roman" w:eastAsia="楷体" w:cs="Times New Roman"/>
          <w:sz w:val="24"/>
        </w:rPr>
        <w:t>. In China, research topics include systems like rice</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fish cultivation</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7</w:t>
      </w:r>
      <w:r>
        <w:rPr>
          <w:rFonts w:hint="default" w:ascii="Times New Roman" w:hAnsi="Times New Roman" w:eastAsia="楷体" w:cs="Times New Roman"/>
          <w:sz w:val="24"/>
          <w:vertAlign w:val="superscript"/>
          <w:lang w:val="en-US" w:eastAsia="zh-CN"/>
        </w:rPr>
        <w:t>2]</w:t>
      </w:r>
      <w:r>
        <w:rPr>
          <w:rFonts w:hint="default" w:ascii="Times New Roman" w:hAnsi="Times New Roman" w:eastAsia="楷体" w:cs="Times New Roman"/>
          <w:sz w:val="24"/>
        </w:rPr>
        <w:t>.</w:t>
      </w:r>
    </w:p>
    <w:p w14:paraId="3DCA3F75">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b/>
          <w:bCs/>
          <w:sz w:val="24"/>
          <w:lang w:val="en-US" w:eastAsia="zh-CN"/>
        </w:rPr>
        <w:t xml:space="preserve">(4) </w:t>
      </w:r>
      <w:r>
        <w:rPr>
          <w:rFonts w:hint="default" w:ascii="Times New Roman" w:hAnsi="Times New Roman" w:eastAsia="楷体" w:cs="Times New Roman"/>
          <w:b/>
          <w:bCs/>
          <w:sz w:val="24"/>
        </w:rPr>
        <w:t xml:space="preserve">European Contributions: </w:t>
      </w:r>
      <w:r>
        <w:rPr>
          <w:rFonts w:hint="default" w:ascii="Times New Roman" w:hAnsi="Times New Roman" w:eastAsia="楷体" w:cs="Times New Roman"/>
          <w:sz w:val="24"/>
        </w:rPr>
        <w:t>In Europe, key countries contributing to GIAHS research include Italy, Germany, Spain, and France. Italian scholars often specialize in specific fields, with research focusing on ecosystem services, biodiversity, sustainability, and policy management</w:t>
      </w:r>
      <w:r>
        <w:rPr>
          <w:rFonts w:hint="default" w:ascii="Times New Roman" w:hAnsi="Times New Roman" w:eastAsia="楷体" w:cs="Times New Roman"/>
          <w:sz w:val="24"/>
          <w:vertAlign w:val="superscript"/>
          <w:lang w:val="en-US" w:eastAsia="zh-CN"/>
        </w:rPr>
        <w:t>[64,</w:t>
      </w:r>
      <w:r>
        <w:rPr>
          <w:rFonts w:hint="eastAsia" w:eastAsia="楷体" w:cs="Times New Roman"/>
          <w:sz w:val="24"/>
          <w:vertAlign w:val="superscript"/>
          <w:lang w:val="en-US" w:eastAsia="zh-CN"/>
        </w:rPr>
        <w:t>73</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74</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German scholars tend to use vineyards as case studies, focusing on biodiversity and landscapes</w:t>
      </w:r>
      <w:r>
        <w:rPr>
          <w:rFonts w:hint="default" w:ascii="Times New Roman" w:hAnsi="Times New Roman" w:eastAsia="楷体" w:cs="Times New Roman"/>
          <w:sz w:val="24"/>
          <w:vertAlign w:val="superscript"/>
          <w:lang w:val="en-US" w:eastAsia="zh-CN"/>
        </w:rPr>
        <w:t>[53,</w:t>
      </w:r>
      <w:r>
        <w:rPr>
          <w:rFonts w:hint="eastAsia" w:eastAsia="楷体" w:cs="Times New Roman"/>
          <w:sz w:val="24"/>
          <w:vertAlign w:val="superscript"/>
          <w:lang w:val="en-US" w:eastAsia="zh-CN"/>
        </w:rPr>
        <w:t>75</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This may be related to the country's rich wine heritage. Spanish scholars are inclined to use landscape studies, given the country’s natural beauty</w:t>
      </w:r>
      <w:r>
        <w:rPr>
          <w:rFonts w:hint="default" w:ascii="Times New Roman" w:hAnsi="Times New Roman" w:eastAsia="楷体" w:cs="Times New Roman"/>
          <w:sz w:val="24"/>
          <w:vertAlign w:val="superscript"/>
          <w:lang w:val="en-US" w:eastAsia="zh-CN"/>
        </w:rPr>
        <w:t>[7</w:t>
      </w:r>
      <w:r>
        <w:rPr>
          <w:rFonts w:hint="eastAsia" w:eastAsia="楷体" w:cs="Times New Roman"/>
          <w:sz w:val="24"/>
          <w:vertAlign w:val="superscript"/>
          <w:lang w:val="en-US" w:eastAsia="zh-CN"/>
        </w:rPr>
        <w:t>6</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while French scholars focus more on biodiversity</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related terms</w:t>
      </w:r>
      <w:r>
        <w:rPr>
          <w:rFonts w:hint="default" w:ascii="Times New Roman" w:hAnsi="Times New Roman" w:eastAsia="楷体" w:cs="Times New Roman"/>
          <w:sz w:val="24"/>
          <w:vertAlign w:val="superscript"/>
          <w:lang w:val="en-US" w:eastAsia="zh-CN"/>
        </w:rPr>
        <w:t>[57</w:t>
      </w:r>
      <w:r>
        <w:rPr>
          <w:rFonts w:hint="eastAsia" w:eastAsia="楷体" w:cs="Times New Roman"/>
          <w:sz w:val="24"/>
          <w:vertAlign w:val="superscript"/>
          <w:lang w:val="en-US" w:eastAsia="zh-CN"/>
        </w:rPr>
        <w:t>,77</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w:t>
      </w:r>
    </w:p>
    <w:p w14:paraId="6733FD7E">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b/>
          <w:bCs/>
          <w:sz w:val="24"/>
          <w:lang w:val="en-US" w:eastAsia="zh-CN"/>
        </w:rPr>
        <w:t xml:space="preserve">(5) </w:t>
      </w:r>
      <w:r>
        <w:rPr>
          <w:rFonts w:hint="default" w:ascii="Times New Roman" w:hAnsi="Times New Roman" w:eastAsia="楷体" w:cs="Times New Roman"/>
          <w:b/>
          <w:bCs/>
          <w:sz w:val="24"/>
        </w:rPr>
        <w:t xml:space="preserve">African Contributions: </w:t>
      </w:r>
      <w:r>
        <w:rPr>
          <w:rFonts w:hint="default" w:ascii="Times New Roman" w:hAnsi="Times New Roman" w:eastAsia="楷体" w:cs="Times New Roman"/>
          <w:sz w:val="24"/>
        </w:rPr>
        <w:t>African authors have not yet formed a large collaborative network, with research mainly focusing on traditional knowledge</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78</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However, there are notable regional collaborations, such as between the United States and African countries in GIAHS research.</w:t>
      </w:r>
    </w:p>
    <w:p w14:paraId="372C1878">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b/>
          <w:bCs/>
          <w:sz w:val="24"/>
          <w:lang w:val="en-US" w:eastAsia="zh-CN"/>
        </w:rPr>
        <w:t xml:space="preserve">(6) </w:t>
      </w:r>
      <w:r>
        <w:rPr>
          <w:rFonts w:hint="default" w:ascii="Times New Roman" w:hAnsi="Times New Roman" w:eastAsia="楷体" w:cs="Times New Roman"/>
          <w:b/>
          <w:bCs/>
          <w:sz w:val="24"/>
        </w:rPr>
        <w:t xml:space="preserve">International Research Networks: </w:t>
      </w:r>
      <w:r>
        <w:rPr>
          <w:rFonts w:hint="default" w:ascii="Times New Roman" w:hAnsi="Times New Roman" w:eastAsia="楷体" w:cs="Times New Roman"/>
          <w:sz w:val="24"/>
        </w:rPr>
        <w:t>As mentioned, some countries, such as the U.S. and Africa, have established research ties, particularly around agricultural heritage. British scholars, given the country’s industrial development, frequently research agricultural heritage in countries like Egypt and Turkey, building associated social networks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79</w:t>
      </w:r>
      <w:r>
        <w:rPr>
          <w:rFonts w:hint="default" w:ascii="Times New Roman" w:hAnsi="Times New Roman" w:eastAsia="楷体" w:cs="Times New Roman"/>
          <w:sz w:val="24"/>
          <w:vertAlign w:val="superscript"/>
          <w:lang w:val="en-US" w:eastAsia="zh-CN"/>
        </w:rPr>
        <w:t>,8</w:t>
      </w:r>
      <w:r>
        <w:rPr>
          <w:rFonts w:hint="eastAsia" w:eastAsia="楷体" w:cs="Times New Roman"/>
          <w:sz w:val="24"/>
          <w:vertAlign w:val="superscript"/>
          <w:lang w:val="en-US" w:eastAsia="zh-CN"/>
        </w:rPr>
        <w:t>0</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Additionally, Chinese and Australian scholars have collaborated on the sustainable development of rice cultivation</w:t>
      </w:r>
      <w:r>
        <w:rPr>
          <w:rFonts w:hint="default" w:ascii="Times New Roman" w:hAnsi="Times New Roman" w:eastAsia="楷体" w:cs="Times New Roman"/>
          <w:sz w:val="24"/>
          <w:vertAlign w:val="superscript"/>
          <w:lang w:val="en-US" w:eastAsia="zh-CN"/>
        </w:rPr>
        <w:t>[25,65]</w:t>
      </w:r>
      <w:r>
        <w:rPr>
          <w:rFonts w:hint="default" w:ascii="Times New Roman" w:hAnsi="Times New Roman" w:eastAsia="楷体" w:cs="Times New Roman"/>
          <w:sz w:val="24"/>
        </w:rPr>
        <w:t>, while French and Australian scholars have collaborated on grassland management</w:t>
      </w:r>
      <w:r>
        <w:rPr>
          <w:rFonts w:hint="default" w:ascii="Times New Roman" w:hAnsi="Times New Roman" w:eastAsia="楷体" w:cs="Times New Roman"/>
          <w:sz w:val="24"/>
          <w:vertAlign w:val="superscript"/>
          <w:lang w:val="en-US" w:eastAsia="zh-CN"/>
        </w:rPr>
        <w:t>[76,</w:t>
      </w:r>
      <w:r>
        <w:rPr>
          <w:rFonts w:hint="eastAsia" w:eastAsia="楷体" w:cs="Times New Roman"/>
          <w:sz w:val="24"/>
          <w:vertAlign w:val="superscript"/>
          <w:lang w:val="en-US" w:eastAsia="zh-CN"/>
        </w:rPr>
        <w:t>81</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Similar to Germany, Italian scholars have also focused on the economic development and biodiversity of vineyards</w:t>
      </w:r>
      <w:r>
        <w:rPr>
          <w:rFonts w:hint="default" w:ascii="Times New Roman" w:hAnsi="Times New Roman" w:eastAsia="楷体" w:cs="Times New Roman"/>
          <w:sz w:val="24"/>
          <w:vertAlign w:val="superscript"/>
          <w:lang w:val="en-US" w:eastAsia="zh-CN"/>
        </w:rPr>
        <w:t>[28,</w:t>
      </w:r>
      <w:r>
        <w:rPr>
          <w:rFonts w:hint="eastAsia" w:eastAsia="楷体" w:cs="Times New Roman"/>
          <w:sz w:val="24"/>
          <w:vertAlign w:val="superscript"/>
          <w:lang w:val="en-US" w:eastAsia="zh-CN"/>
        </w:rPr>
        <w:t>82</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Some regions have formed true multinational collaborations, such as the East Asia Agricultural Heritage Systems Research Association (ERAHS), established in October 2013 through an initiative from China, Japan, and Korea. Since 2014, the three countries have taken turns hosting the association's activities, except in 2020</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8</w:t>
      </w:r>
      <w:r>
        <w:rPr>
          <w:rFonts w:hint="default" w:ascii="Times New Roman" w:hAnsi="Times New Roman" w:eastAsia="楷体" w:cs="Times New Roman"/>
          <w:sz w:val="24"/>
          <w:vertAlign w:val="superscript"/>
          <w:lang w:val="en-US" w:eastAsia="zh-CN"/>
        </w:rPr>
        <w:t>3]</w:t>
      </w:r>
      <w:r>
        <w:rPr>
          <w:rFonts w:hint="default" w:ascii="Times New Roman" w:hAnsi="Times New Roman" w:eastAsia="楷体" w:cs="Times New Roman"/>
          <w:sz w:val="24"/>
        </w:rPr>
        <w:t>.</w:t>
      </w:r>
    </w:p>
    <w:p w14:paraId="2EE9C500">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b/>
          <w:bCs/>
          <w:sz w:val="24"/>
          <w:lang w:val="en-US" w:eastAsia="zh-CN"/>
        </w:rPr>
        <w:t xml:space="preserve">(7) </w:t>
      </w:r>
      <w:r>
        <w:rPr>
          <w:rFonts w:hint="default" w:ascii="Times New Roman" w:hAnsi="Times New Roman" w:eastAsia="楷体" w:cs="Times New Roman"/>
          <w:b/>
          <w:bCs/>
          <w:sz w:val="24"/>
        </w:rPr>
        <w:t xml:space="preserve">Diversity in Agricultural Heritage Forms and Management: </w:t>
      </w:r>
      <w:r>
        <w:rPr>
          <w:rFonts w:hint="default" w:ascii="Times New Roman" w:hAnsi="Times New Roman" w:eastAsia="楷体" w:cs="Times New Roman"/>
          <w:sz w:val="24"/>
        </w:rPr>
        <w:t>The forms and management of GIAHS differ by country and region. In Asia, particularly Japan, Korea, and China, natural conditions are similar, but Japan has a relatively richer variety of GIAHS sites, each establishing various multi</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stakeholder participation mechanisms. This gives Japan an advantage in urban agriculture and historical cultural heritage preservation. For example, the spontaneously organized Global GIAHS Cooperation Network, led by the governments of GIAHS sites, has played an important role in promoting the development and protection of agricultural heritage in Southeast Asia</w:t>
      </w:r>
      <w:r>
        <w:rPr>
          <w:rFonts w:hint="default" w:ascii="Times New Roman" w:hAnsi="Times New Roman" w:eastAsia="楷体" w:cs="Times New Roman"/>
          <w:sz w:val="24"/>
          <w:vertAlign w:val="superscript"/>
          <w:lang w:val="en-US" w:eastAsia="zh-CN"/>
        </w:rPr>
        <w:t>[15,8</w:t>
      </w:r>
      <w:r>
        <w:rPr>
          <w:rFonts w:hint="eastAsia" w:eastAsia="楷体" w:cs="Times New Roman"/>
          <w:sz w:val="24"/>
          <w:vertAlign w:val="superscript"/>
          <w:lang w:val="en-US" w:eastAsia="zh-CN"/>
        </w:rPr>
        <w:t>4</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w:t>
      </w:r>
    </w:p>
    <w:p w14:paraId="0B6D68D4">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b/>
          <w:bCs/>
          <w:sz w:val="24"/>
          <w:lang w:val="en-US" w:eastAsia="zh-CN"/>
        </w:rPr>
        <w:t xml:space="preserve">(8) </w:t>
      </w:r>
      <w:r>
        <w:rPr>
          <w:rFonts w:hint="default" w:ascii="Times New Roman" w:hAnsi="Times New Roman" w:eastAsia="楷体" w:cs="Times New Roman"/>
          <w:b/>
          <w:bCs/>
          <w:sz w:val="24"/>
        </w:rPr>
        <w:t>Regional Differences in Agricultural Heritage Management:</w:t>
      </w:r>
      <w:r>
        <w:rPr>
          <w:rFonts w:hint="default" w:ascii="Times New Roman" w:hAnsi="Times New Roman" w:eastAsia="楷体" w:cs="Times New Roman"/>
          <w:sz w:val="24"/>
        </w:rPr>
        <w:t xml:space="preserve"> In Europe, vineyards and botanical gardens are the primary types of GIAHS. Spain and Italy are key regions for the distribution of global agricultural heritage sites. The management approach in these countries is more top</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down and government</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guided. In the United States, research has focused on suburban agricultural preservation and urban farms due to its early industrial development. Furthermore, countries like Italy and China, with a variety of agricultural heritage, can support each other in cross</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regional sustainable development</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85</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Countries or regions with weak policy support can learn from Japan’s GIAHS management practices.</w:t>
      </w:r>
    </w:p>
    <w:p w14:paraId="00F41492">
      <w:pPr>
        <w:pStyle w:val="4"/>
        <w:rPr>
          <w:rFonts w:hint="default" w:ascii="Times New Roman" w:hAnsi="Times New Roman" w:eastAsia="Times New Roman" w:cs="Times New Roman"/>
          <w:lang w:val="en-GB" w:eastAsia="en-GB"/>
        </w:rPr>
      </w:pPr>
      <w:r>
        <w:rPr>
          <w:rFonts w:hint="default" w:ascii="Times New Roman" w:hAnsi="Times New Roman" w:eastAsia="Times New Roman" w:cs="Times New Roman"/>
          <w:lang w:val="en-GB" w:eastAsia="en-GB"/>
        </w:rPr>
        <w:t>Significance</w:t>
      </w:r>
    </w:p>
    <w:p w14:paraId="2BD0152F">
      <w:pPr>
        <w:tabs>
          <w:tab w:val="left" w:pos="1974"/>
        </w:tabs>
        <w:adjustRightInd w:val="0"/>
        <w:spacing w:before="120" w:after="240"/>
        <w:jc w:val="both"/>
        <w:rPr>
          <w:rFonts w:hint="default" w:ascii="Times New Roman" w:hAnsi="Times New Roman" w:cs="Times New Roman"/>
          <w:lang w:val="en-GB" w:eastAsia="en-GB"/>
        </w:rPr>
      </w:pPr>
      <w:r>
        <w:rPr>
          <w:rFonts w:hint="default" w:ascii="Times New Roman" w:hAnsi="Times New Roman" w:eastAsia="楷体" w:cs="Times New Roman"/>
          <w:sz w:val="24"/>
        </w:rPr>
        <w:t>This study utilizes CiteSpace visualization analysis and widely cited international GIAHS literature</w:t>
      </w:r>
      <w:r>
        <w:rPr>
          <w:rFonts w:hint="default" w:ascii="Times New Roman" w:hAnsi="Times New Roman" w:eastAsia="楷体" w:cs="Times New Roman"/>
          <w:sz w:val="24"/>
          <w:lang w:val="en-US" w:eastAsia="zh-CN"/>
        </w:rPr>
        <w:t xml:space="preserve"> </w:t>
      </w:r>
      <w:r>
        <w:rPr>
          <w:rFonts w:hint="default" w:ascii="Times New Roman" w:hAnsi="Times New Roman" w:eastAsia="楷体" w:cs="Times New Roman"/>
          <w:sz w:val="24"/>
        </w:rPr>
        <w:t>to directly reflect the development trends of GIAHS over the past 18 years</w:t>
      </w:r>
      <w:r>
        <w:rPr>
          <w:rFonts w:hint="default" w:ascii="Times New Roman" w:hAnsi="Times New Roman" w:eastAsia="楷体" w:cs="Times New Roman"/>
          <w:sz w:val="24"/>
          <w:vertAlign w:val="superscript"/>
          <w:lang w:val="en-US" w:eastAsia="zh-CN"/>
        </w:rPr>
        <w:t>[15,</w:t>
      </w:r>
      <w:r>
        <w:rPr>
          <w:rFonts w:hint="eastAsia" w:eastAsia="楷体" w:cs="Times New Roman"/>
          <w:sz w:val="24"/>
          <w:vertAlign w:val="superscript"/>
          <w:lang w:val="en-US" w:eastAsia="zh-CN"/>
        </w:rPr>
        <w:t>86</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The use of visualization analysis methods provides a clear representation of the evolution of GIAHS research, allowing for a deeper understanding of the field's progression</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87</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Furthermore, the study highlights the latest research trends within the GIAHS domain, helping researchers form a clearer understanding of current issues and future directions</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88</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89</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.The findings can assist scholars from different countries in advancing international exchanges and collaborations on IAHS research. Additionally, through the analysis of the spatial distribution and cross</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regional government management characteristics of cited literature, this study uncovers interesting spatial</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temporal patterns in GIAHS development, including similarities and differences in GIAHS development across various regions.These results contribute to the theoretical advancement and practical sustainability of Global Important Agricultural Heritage Systems, providing a valuable framework for future research and policy development in agricultural heritage preservation and sustainable management.</w:t>
      </w:r>
    </w:p>
    <w:p w14:paraId="1592B79F">
      <w:pPr>
        <w:pStyle w:val="3"/>
        <w:numPr>
          <w:ilvl w:val="1"/>
          <w:numId w:val="2"/>
        </w:numPr>
        <w:ind w:left="283" w:leftChars="0" w:hanging="283" w:firstLineChars="0"/>
        <w:rPr>
          <w:rFonts w:hint="default" w:ascii="Times New Roman" w:hAnsi="Times New Roman" w:cs="Times New Roman"/>
        </w:rPr>
      </w:pPr>
      <w:r>
        <w:rPr>
          <w:rFonts w:hint="default" w:ascii="Times New Roman" w:hAnsi="Times New Roman" w:cs="Times New Roman"/>
        </w:rPr>
        <w:t>Limitations of the Study</w:t>
      </w:r>
    </w:p>
    <w:p w14:paraId="680A9908">
      <w:pPr>
        <w:jc w:val="both"/>
        <w:rPr>
          <w:rFonts w:hint="default" w:ascii="Times New Roman" w:hAnsi="Times New Roman" w:cs="Times New Roman"/>
        </w:rPr>
      </w:pPr>
      <w:r>
        <w:rPr>
          <w:rFonts w:hint="default" w:ascii="Times New Roman" w:hAnsi="Times New Roman" w:cs="Times New Roman"/>
        </w:rPr>
        <w:t>While this study provides valuable insights into the progress and trends in IAHS research, there are several limitations that should be acknowledged:</w:t>
      </w:r>
    </w:p>
    <w:p w14:paraId="3F50EA2C">
      <w:pPr>
        <w:jc w:val="both"/>
        <w:rPr>
          <w:rFonts w:hint="default" w:ascii="Times New Roman" w:hAnsi="Times New Roman" w:cs="Times New Roman"/>
        </w:rPr>
      </w:pPr>
      <w:r>
        <w:rPr>
          <w:rFonts w:hint="default" w:ascii="Times New Roman" w:hAnsi="Times New Roman" w:cs="Times New Roman"/>
        </w:rPr>
        <w:t>(1) Reliance on Web of Science Database</w:t>
      </w:r>
    </w:p>
    <w:p w14:paraId="5A8E5095">
      <w:pPr>
        <w:jc w:val="both"/>
        <w:rPr>
          <w:rFonts w:hint="default" w:ascii="Times New Roman" w:hAnsi="Times New Roman" w:cs="Times New Roman"/>
        </w:rPr>
      </w:pPr>
      <w:r>
        <w:rPr>
          <w:rFonts w:hint="default" w:ascii="Times New Roman" w:hAnsi="Times New Roman" w:cs="Times New Roman"/>
        </w:rPr>
        <w:t>This study exclusively used the Web of Science Core Collection as the data source. Although this database is widely regarded as highly influential and comprehensive, it does not encompass all publications in the IAHS field. Some relevant research might be published in other databases or sources not covered by Web of Science, which may limit the breadth of the analysis.</w:t>
      </w:r>
    </w:p>
    <w:p w14:paraId="4349F203">
      <w:pPr>
        <w:jc w:val="both"/>
        <w:rPr>
          <w:rFonts w:hint="default" w:ascii="Times New Roman" w:hAnsi="Times New Roman" w:cs="Times New Roman"/>
        </w:rPr>
      </w:pPr>
      <w:r>
        <w:rPr>
          <w:rFonts w:hint="default" w:ascii="Times New Roman" w:hAnsi="Times New Roman" w:cs="Times New Roman"/>
        </w:rPr>
        <w:t>(2) Exclusion of Non</w:t>
      </w:r>
      <w:r>
        <w:rPr>
          <w:rFonts w:hint="default" w:ascii="Times New Roman" w:hAnsi="Times New Roman" w:cs="Times New Roman"/>
          <w:lang w:eastAsia="zh-CN"/>
        </w:rPr>
        <w:t>–</w:t>
      </w:r>
      <w:r>
        <w:rPr>
          <w:rFonts w:hint="default" w:ascii="Times New Roman" w:hAnsi="Times New Roman" w:cs="Times New Roman"/>
        </w:rPr>
        <w:t>English Literature</w:t>
      </w:r>
    </w:p>
    <w:p w14:paraId="67DC7D18">
      <w:pPr>
        <w:jc w:val="both"/>
        <w:rPr>
          <w:rFonts w:hint="default" w:ascii="Times New Roman" w:hAnsi="Times New Roman" w:cs="Times New Roman"/>
        </w:rPr>
      </w:pPr>
      <w:r>
        <w:rPr>
          <w:rFonts w:hint="default" w:ascii="Times New Roman" w:hAnsi="Times New Roman" w:cs="Times New Roman"/>
        </w:rPr>
        <w:t>The literature included in this study primarily consists of English</w:t>
      </w:r>
      <w:r>
        <w:rPr>
          <w:rFonts w:hint="default" w:ascii="Times New Roman" w:hAnsi="Times New Roman" w:cs="Times New Roman"/>
          <w:lang w:eastAsia="zh-CN"/>
        </w:rPr>
        <w:t>–</w:t>
      </w:r>
      <w:r>
        <w:rPr>
          <w:rFonts w:hint="default" w:ascii="Times New Roman" w:hAnsi="Times New Roman" w:cs="Times New Roman"/>
        </w:rPr>
        <w:t>language articles and reviews. This may have led to the exclusion of significant contributions published in other languages. Non</w:t>
      </w:r>
      <w:r>
        <w:rPr>
          <w:rFonts w:hint="default" w:ascii="Times New Roman" w:hAnsi="Times New Roman" w:cs="Times New Roman"/>
          <w:lang w:eastAsia="zh-CN"/>
        </w:rPr>
        <w:t>–</w:t>
      </w:r>
      <w:r>
        <w:rPr>
          <w:rFonts w:hint="default" w:ascii="Times New Roman" w:hAnsi="Times New Roman" w:cs="Times New Roman"/>
        </w:rPr>
        <w:t>English literature, particularly in countries where IAHS research is emerging, could offer valuable insights and perspectives that are not fully represented in this study.</w:t>
      </w:r>
    </w:p>
    <w:p w14:paraId="41BD4DA2">
      <w:pPr>
        <w:jc w:val="both"/>
        <w:rPr>
          <w:rFonts w:hint="default" w:ascii="Times New Roman" w:hAnsi="Times New Roman" w:cs="Times New Roman"/>
        </w:rPr>
      </w:pPr>
      <w:r>
        <w:rPr>
          <w:rFonts w:hint="default" w:ascii="Times New Roman" w:hAnsi="Times New Roman" w:cs="Times New Roman"/>
        </w:rPr>
        <w:t>(3) Focus on Bibliometric Analysis</w:t>
      </w:r>
    </w:p>
    <w:p w14:paraId="34CE81CB">
      <w:pPr>
        <w:jc w:val="both"/>
        <w:rPr>
          <w:rFonts w:hint="default" w:ascii="Times New Roman" w:hAnsi="Times New Roman" w:cs="Times New Roman"/>
        </w:rPr>
      </w:pPr>
      <w:r>
        <w:rPr>
          <w:rFonts w:hint="default" w:ascii="Times New Roman" w:hAnsi="Times New Roman" w:cs="Times New Roman"/>
        </w:rPr>
        <w:t>While the bibliometric approach used in this study provides a broad and quantitative overview of IAHS research trends, it does not capture the qualitative aspects of the field. For example, the depth of analysis regarding the content, context, and implications of individual studies was not addressed. Future research could benefit from a mixed</w:t>
      </w:r>
      <w:r>
        <w:rPr>
          <w:rFonts w:hint="default" w:ascii="Times New Roman" w:hAnsi="Times New Roman" w:cs="Times New Roman"/>
          <w:lang w:eastAsia="zh-CN"/>
        </w:rPr>
        <w:t>–</w:t>
      </w:r>
      <w:r>
        <w:rPr>
          <w:rFonts w:hint="default" w:ascii="Times New Roman" w:hAnsi="Times New Roman" w:cs="Times New Roman"/>
        </w:rPr>
        <w:t>methods approach, combining bibliometric analysis with in</w:t>
      </w:r>
      <w:r>
        <w:rPr>
          <w:rFonts w:hint="default" w:ascii="Times New Roman" w:hAnsi="Times New Roman" w:cs="Times New Roman"/>
          <w:lang w:eastAsia="zh-CN"/>
        </w:rPr>
        <w:t>–</w:t>
      </w:r>
      <w:r>
        <w:rPr>
          <w:rFonts w:hint="default" w:ascii="Times New Roman" w:hAnsi="Times New Roman" w:cs="Times New Roman"/>
        </w:rPr>
        <w:t>depth qualitative reviews.</w:t>
      </w:r>
    </w:p>
    <w:p w14:paraId="14637633">
      <w:pPr>
        <w:jc w:val="both"/>
        <w:rPr>
          <w:rFonts w:hint="default" w:ascii="Times New Roman" w:hAnsi="Times New Roman" w:cs="Times New Roman"/>
        </w:rPr>
      </w:pPr>
      <w:r>
        <w:rPr>
          <w:rFonts w:hint="default" w:ascii="Times New Roman" w:hAnsi="Times New Roman" w:cs="Times New Roman"/>
        </w:rPr>
        <w:t>(4) Time Frame Limitations</w:t>
      </w:r>
    </w:p>
    <w:p w14:paraId="49644388">
      <w:pPr>
        <w:jc w:val="both"/>
        <w:rPr>
          <w:rFonts w:hint="default" w:ascii="Times New Roman" w:hAnsi="Times New Roman" w:cs="Times New Roman"/>
        </w:rPr>
      </w:pPr>
      <w:r>
        <w:rPr>
          <w:rFonts w:hint="default" w:ascii="Times New Roman" w:hAnsi="Times New Roman" w:cs="Times New Roman"/>
        </w:rPr>
        <w:t>The study is limited to literature published between January 1, 2006, and November 7, 2023. This time frame excludes some earlier contributions to the IAHS field, particularly those that may have laid the groundwork for more recent developments. Expanding the time frame to include earlier studies could provide a more comprehensive historical context to the evolution of IAHS research.</w:t>
      </w:r>
    </w:p>
    <w:p w14:paraId="3793E059">
      <w:pPr>
        <w:jc w:val="both"/>
        <w:rPr>
          <w:rFonts w:hint="default" w:ascii="Times New Roman" w:hAnsi="Times New Roman" w:cs="Times New Roman"/>
        </w:rPr>
      </w:pPr>
      <w:r>
        <w:rPr>
          <w:rFonts w:hint="default" w:ascii="Times New Roman" w:hAnsi="Times New Roman" w:cs="Times New Roman"/>
        </w:rPr>
        <w:t>(5)</w:t>
      </w:r>
      <w:r>
        <w:rPr>
          <w:rFonts w:hint="default" w:ascii="Times New Roman" w:hAnsi="Times New Roman" w:cs="Times New Roman"/>
          <w:lang w:val="en-US" w:eastAsia="zh-CN"/>
        </w:rPr>
        <w:t xml:space="preserve"> </w:t>
      </w:r>
      <w:r>
        <w:rPr>
          <w:rFonts w:hint="default" w:ascii="Times New Roman" w:hAnsi="Times New Roman" w:cs="Times New Roman"/>
        </w:rPr>
        <w:t>Geographic and Institutional Bias</w:t>
      </w:r>
    </w:p>
    <w:p w14:paraId="7BF56005">
      <w:pPr>
        <w:jc w:val="both"/>
        <w:rPr>
          <w:rFonts w:hint="default" w:ascii="Times New Roman" w:hAnsi="Times New Roman" w:cs="Times New Roman"/>
        </w:rPr>
      </w:pPr>
      <w:r>
        <w:rPr>
          <w:rFonts w:hint="default" w:ascii="Times New Roman" w:hAnsi="Times New Roman" w:cs="Times New Roman"/>
        </w:rPr>
        <w:t>The study highlights the dominance of certain countries and institutions in IAHS research, such as Canada, China, and the United States. However, this dominance may reflect publication and collaboration patterns rather than the true global distribution of research efforts. Future research should explore the research contributions from a broader range of countries and institutions, especially from regions with emerging research in IAHS.</w:t>
      </w:r>
    </w:p>
    <w:p w14:paraId="557C26CB">
      <w:pPr>
        <w:jc w:val="both"/>
        <w:rPr>
          <w:rFonts w:hint="default" w:ascii="Times New Roman" w:hAnsi="Times New Roman" w:cs="Times New Roman"/>
        </w:rPr>
      </w:pPr>
      <w:r>
        <w:rPr>
          <w:rFonts w:hint="default" w:ascii="Times New Roman" w:hAnsi="Times New Roman" w:cs="Times New Roman"/>
        </w:rPr>
        <w:t>Despite these limitations, the study offers a valuable framework for understanding the global trends in IAHS research and provides a foundation for future studies in this evolving field.</w:t>
      </w:r>
    </w:p>
    <w:p w14:paraId="70C48BC8">
      <w:pPr>
        <w:pStyle w:val="3"/>
        <w:numPr>
          <w:ilvl w:val="1"/>
          <w:numId w:val="2"/>
        </w:numPr>
        <w:ind w:left="283" w:leftChars="0" w:hanging="283" w:firstLineChars="0"/>
        <w:rPr>
          <w:rFonts w:hint="default" w:ascii="Times New Roman" w:hAnsi="Times New Roman" w:cs="Times New Roman"/>
        </w:rPr>
      </w:pPr>
      <w:r>
        <w:rPr>
          <w:rFonts w:hint="default" w:ascii="Times New Roman" w:hAnsi="Times New Roman" w:cs="Times New Roman"/>
        </w:rPr>
        <w:t>Research Outlook</w:t>
      </w:r>
    </w:p>
    <w:p w14:paraId="1FC20D3F">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Through the cluster analysis of keywords and subject terms, the research directions of scholars in this field can be summarized from the clustering results, and the shortcomings and prospects of international IAHS research can be proposed.</w:t>
      </w:r>
    </w:p>
    <w:p w14:paraId="23B60F07">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(1) The research content of international IAHS is expanded to application areas and micro perspectives</w:t>
      </w:r>
    </w:p>
    <w:p w14:paraId="294FC7A7">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The current research content mainly focuses on the characteristics of international IAHS, but there is less research on the summarization, promotion and application of the core values of international IAHS. On the basis of the existing research, the future IAHS can be expanded to other fields such as education and research, promotion and application, and also to the research of a certain type of IAHS and the categorization of IAHS.</w:t>
      </w:r>
    </w:p>
    <w:p w14:paraId="28036B33">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(2) IAHS should strengthen the research in the field of social sciences and build a comprehensive discipline system</w:t>
      </w:r>
    </w:p>
    <w:p w14:paraId="69311612">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At present, the research results of IAHS are mainly concentrated in the fields of natural sciences such as agriculture, ecology, plants, soil, hydrology and so on. International IAHS is also mainly concentrated in the field of social sciences such as economics represented by livelihood capital and social assets, and tourism represented by tourism resources, etc. IAHS is a natural</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economic</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 xml:space="preserve">social complex system </w:t>
      </w:r>
      <w:r>
        <w:rPr>
          <w:rFonts w:hint="default" w:ascii="Times New Roman" w:hAnsi="Times New Roman" w:eastAsia="楷体" w:cs="Times New Roman"/>
          <w:sz w:val="24"/>
          <w:vertAlign w:val="superscript"/>
        </w:rPr>
        <w:t>[80]</w:t>
      </w:r>
      <w:r>
        <w:rPr>
          <w:rFonts w:hint="default" w:ascii="Times New Roman" w:hAnsi="Times New Roman" w:eastAsia="楷体" w:cs="Times New Roman"/>
          <w:sz w:val="24"/>
        </w:rPr>
        <w:t>. In the future, the disciplines of international IAHS research should expand to a variety of disciplines and fields such as psychology, art, management, etc., and seek cross development</w:t>
      </w:r>
      <w:r>
        <w:rPr>
          <w:rFonts w:hint="default" w:ascii="Times New Roman" w:hAnsi="Times New Roman" w:eastAsia="楷体" w:cs="Times New Roman"/>
          <w:sz w:val="24"/>
          <w:vertAlign w:val="superscript"/>
          <w:lang w:val="en-US" w:eastAsia="zh-CN"/>
        </w:rPr>
        <w:t>[</w:t>
      </w:r>
      <w:r>
        <w:rPr>
          <w:rFonts w:hint="eastAsia" w:eastAsia="楷体" w:cs="Times New Roman"/>
          <w:sz w:val="24"/>
          <w:vertAlign w:val="superscript"/>
          <w:lang w:val="en-US" w:eastAsia="zh-CN"/>
        </w:rPr>
        <w:t>86</w:t>
      </w:r>
      <w:r>
        <w:rPr>
          <w:rFonts w:hint="default" w:ascii="Times New Roman" w:hAnsi="Times New Roman" w:eastAsia="楷体" w:cs="Times New Roman"/>
          <w:sz w:val="24"/>
          <w:vertAlign w:val="superscript"/>
          <w:lang w:val="en-US" w:eastAsia="zh-CN"/>
        </w:rPr>
        <w:t>]</w:t>
      </w:r>
      <w:r>
        <w:rPr>
          <w:rFonts w:hint="default" w:ascii="Times New Roman" w:hAnsi="Times New Roman" w:eastAsia="楷体" w:cs="Times New Roman"/>
          <w:sz w:val="24"/>
        </w:rPr>
        <w:t>. IAHS should construct a complete theoretical system in the field of IAHS to promote the formation of a multi</w:t>
      </w:r>
      <w:r>
        <w:rPr>
          <w:rFonts w:hint="default" w:ascii="Times New Roman" w:hAnsi="Times New Roman" w:eastAsia="楷体" w:cs="Times New Roman"/>
          <w:sz w:val="24"/>
          <w:lang w:eastAsia="zh-CN"/>
        </w:rPr>
        <w:t>–</w:t>
      </w:r>
      <w:r>
        <w:rPr>
          <w:rFonts w:hint="default" w:ascii="Times New Roman" w:hAnsi="Times New Roman" w:eastAsia="楷体" w:cs="Times New Roman"/>
          <w:sz w:val="24"/>
        </w:rPr>
        <w:t>perspective understanding of IAHS and effective protection.</w:t>
      </w:r>
    </w:p>
    <w:p w14:paraId="3098788F">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(3)</w:t>
      </w:r>
      <w:r>
        <w:rPr>
          <w:rFonts w:hint="default" w:ascii="Times New Roman" w:hAnsi="Times New Roman" w:eastAsia="楷体" w:cs="Times New Roman"/>
          <w:sz w:val="24"/>
          <w:lang w:val="en-US" w:eastAsia="zh-CN"/>
        </w:rPr>
        <w:t xml:space="preserve"> </w:t>
      </w:r>
      <w:r>
        <w:rPr>
          <w:rFonts w:hint="default" w:ascii="Times New Roman" w:hAnsi="Times New Roman" w:eastAsia="楷体" w:cs="Times New Roman"/>
          <w:sz w:val="24"/>
        </w:rPr>
        <w:t>International IAHS should strengthen the application of standardized quantitative research methods to improve the scientific nature of the research process and results</w:t>
      </w:r>
    </w:p>
    <w:p w14:paraId="00A7DB9F">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Throughout the research on international IAHS, most of the studies were initially based on qualitative research. In recent years, it has gradually expanded from qualitative research to research combining qualitative and quantitative. Among them, the methods of geography and ecology have been applied more, such as keywords such as dynamics and other perspectives such as hydrological terrain modeling, which are more widely used in the international literature on IAHS. However, the use of empirical methods is still rare. Future research methods can be extended to qualitative research, such as rooted theory and the use of more sophisticated empirical procedures for quantitative research on international agricultural IAHS, to enrich the objectivity and feasibility of international IAHS research.</w:t>
      </w:r>
    </w:p>
    <w:p w14:paraId="55A5434F">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(4) Expanding international cooperation of IAHS research groups</w:t>
      </w:r>
    </w:p>
    <w:p w14:paraId="4C8D4FCF">
      <w:pPr>
        <w:tabs>
          <w:tab w:val="left" w:pos="1974"/>
        </w:tabs>
        <w:adjustRightInd w:val="0"/>
        <w:spacing w:before="120" w:after="240"/>
        <w:jc w:val="both"/>
        <w:rPr>
          <w:rFonts w:hint="default" w:ascii="Times New Roman" w:hAnsi="Times New Roman" w:eastAsia="楷体" w:cs="Times New Roman"/>
          <w:sz w:val="24"/>
        </w:rPr>
      </w:pPr>
      <w:r>
        <w:rPr>
          <w:rFonts w:hint="default" w:ascii="Times New Roman" w:hAnsi="Times New Roman" w:eastAsia="楷体" w:cs="Times New Roman"/>
          <w:sz w:val="24"/>
        </w:rPr>
        <w:t>Currently, the number of publications in China is relatively high, but the centrality is low, which indicates that China needs to strengthen international cooperation and research. This also provides a reference for international IAHS research. Research in foreign institutions should strengthen the professional team. While ensuring the publication volume, it is necessary to strengthen exchanges and cooperation between countries and regions, expand the influence and cooperation of the core research team, and enrich the international IAHS research talent team. Finally, international IAHS research should be carried out comprehensively.</w:t>
      </w:r>
    </w:p>
    <w:p w14:paraId="00000061">
      <w:pPr>
        <w:pStyle w:val="2"/>
        <w:numPr>
          <w:ilvl w:val="0"/>
          <w:numId w:val="2"/>
        </w:numPr>
        <w:ind w:left="567" w:leftChars="0" w:hanging="567" w:firstLineChars="0"/>
        <w:rPr>
          <w:rFonts w:hint="default" w:ascii="Times New Roman" w:hAnsi="Times New Roman" w:cs="Times New Roman"/>
          <w:bCs/>
          <w:lang w:val="en-GB"/>
        </w:rPr>
      </w:pPr>
      <w:r>
        <w:rPr>
          <w:rFonts w:hint="default" w:ascii="Times New Roman" w:hAnsi="Times New Roman" w:cs="Times New Roman"/>
          <w:bCs/>
          <w:rtl w:val="0"/>
          <w:lang w:val="en-GB"/>
        </w:rPr>
        <w:t>Conflict of Interest</w:t>
      </w:r>
    </w:p>
    <w:p w14:paraId="00000063">
      <w:pPr>
        <w:jc w:val="both"/>
        <w:rPr>
          <w:rFonts w:hint="default" w:ascii="Times New Roman" w:hAnsi="Times New Roman" w:eastAsia="宋体" w:cs="Times New Roman"/>
          <w:rtl w:val="0"/>
        </w:rPr>
      </w:pPr>
      <w:r>
        <w:rPr>
          <w:rFonts w:hint="default" w:ascii="Times New Roman" w:hAnsi="Times New Roman" w:eastAsia="宋体" w:cs="Times New Roman"/>
          <w:rtl w:val="0"/>
        </w:rPr>
        <w:t>The authors declare that they have no conflicts of interest to report regarding the present study</w:t>
      </w:r>
    </w:p>
    <w:p w14:paraId="00000064">
      <w:pPr>
        <w:pStyle w:val="2"/>
        <w:numPr>
          <w:ilvl w:val="0"/>
          <w:numId w:val="2"/>
        </w:numPr>
        <w:ind w:left="567" w:leftChars="0" w:hanging="567" w:firstLineChars="0"/>
        <w:rPr>
          <w:rFonts w:hint="default" w:ascii="Times New Roman" w:hAnsi="Times New Roman" w:cs="Times New Roman"/>
          <w:bCs/>
          <w:rtl w:val="0"/>
          <w:lang w:val="en-GB"/>
        </w:rPr>
      </w:pPr>
      <w:r>
        <w:rPr>
          <w:rFonts w:hint="default" w:ascii="Times New Roman" w:hAnsi="Times New Roman" w:cs="Times New Roman"/>
          <w:bCs/>
          <w:rtl w:val="0"/>
          <w:lang w:val="en-GB"/>
        </w:rPr>
        <w:t>Author Contributions</w:t>
      </w:r>
    </w:p>
    <w:p w14:paraId="00000067">
      <w:pPr>
        <w:jc w:val="both"/>
        <w:rPr>
          <w:rFonts w:hint="default" w:ascii="Times New Roman" w:hAnsi="Times New Roman" w:cs="Times New Roman"/>
        </w:rPr>
      </w:pPr>
      <w:r>
        <w:rPr>
          <w:rFonts w:hint="default" w:ascii="Times New Roman" w:hAnsi="Times New Roman" w:cs="Times New Roman"/>
          <w:rtl w:val="0"/>
        </w:rPr>
        <w:t xml:space="preserve">The authors confirm contribution to the paper as follows: </w:t>
      </w:r>
    </w:p>
    <w:p w14:paraId="00000068">
      <w:pPr>
        <w:jc w:val="both"/>
        <w:rPr>
          <w:rFonts w:hint="default" w:ascii="Times New Roman" w:hAnsi="Times New Roman" w:cs="Times New Roman"/>
        </w:rPr>
      </w:pPr>
      <w:r>
        <w:rPr>
          <w:rFonts w:hint="default" w:ascii="Times New Roman" w:hAnsi="Times New Roman" w:cs="Times New Roman"/>
          <w:rtl w:val="0"/>
        </w:rPr>
        <w:t>Xinyong Lu: The author was responsible for the conception, methodology, data collection, analysis, and manuscript writing. No external contributors were involved in this study.</w:t>
      </w:r>
      <w:r>
        <w:rPr>
          <w:rFonts w:hint="default" w:ascii="Times New Roman" w:hAnsi="Times New Roman" w:cs="Times New Roman"/>
          <w:rtl w:val="0"/>
          <w:lang w:val="en-US" w:eastAsia="zh-CN"/>
        </w:rPr>
        <w:t xml:space="preserve"> </w:t>
      </w:r>
    </w:p>
    <w:p w14:paraId="0000006A">
      <w:pPr>
        <w:pStyle w:val="2"/>
        <w:numPr>
          <w:ilvl w:val="0"/>
          <w:numId w:val="2"/>
        </w:numPr>
        <w:ind w:left="567" w:leftChars="0" w:hanging="567" w:firstLineChars="0"/>
        <w:rPr>
          <w:rFonts w:hint="default" w:ascii="Times New Roman" w:hAnsi="Times New Roman" w:cs="Times New Roman"/>
          <w:bCs/>
          <w:rtl w:val="0"/>
          <w:lang w:val="en-GB"/>
        </w:rPr>
      </w:pPr>
      <w:r>
        <w:rPr>
          <w:rFonts w:hint="default" w:ascii="Times New Roman" w:hAnsi="Times New Roman" w:cs="Times New Roman"/>
          <w:bCs/>
          <w:rtl w:val="0"/>
          <w:lang w:val="en-GB"/>
        </w:rPr>
        <w:t>Funding</w:t>
      </w:r>
    </w:p>
    <w:p w14:paraId="65C29372">
      <w:pPr>
        <w:jc w:val="both"/>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This research was supported by the Zhong Kai College of Agricultural Engineering Graduate Student Science and Technology Innovation Fund Grant (KJCX2024031) and General Program of the National Social Science Foundation (21BSH104). The funding institutions had no role in the study design, data collection and analysis, decision to publish, or preparation of the manuscript.</w:t>
      </w:r>
    </w:p>
    <w:p w14:paraId="0000006D">
      <w:pPr>
        <w:pStyle w:val="2"/>
        <w:numPr>
          <w:ilvl w:val="0"/>
          <w:numId w:val="2"/>
        </w:numPr>
        <w:ind w:left="567" w:leftChars="0" w:hanging="567" w:firstLineChars="0"/>
        <w:rPr>
          <w:rFonts w:hint="default" w:ascii="Times New Roman" w:hAnsi="Times New Roman" w:cs="Times New Roman"/>
          <w:bCs/>
          <w:rtl w:val="0"/>
          <w:lang w:val="en-GB"/>
        </w:rPr>
      </w:pPr>
      <w:r>
        <w:rPr>
          <w:rFonts w:hint="default" w:ascii="Times New Roman" w:hAnsi="Times New Roman" w:cs="Times New Roman"/>
          <w:bCs/>
          <w:rtl w:val="0"/>
          <w:lang w:val="en-GB"/>
        </w:rPr>
        <w:t>Acknowledgments</w:t>
      </w:r>
    </w:p>
    <w:p w14:paraId="02A3C84A">
      <w:pPr>
        <w:rPr>
          <w:rFonts w:hint="default" w:ascii="Times New Roman" w:hAnsi="Times New Roman" w:cs="Times New Roman"/>
          <w:lang w:val="en-US" w:eastAsia="zh-CN"/>
        </w:rPr>
      </w:pPr>
      <w:r>
        <w:rPr>
          <w:rFonts w:hint="default" w:ascii="Times New Roman" w:hAnsi="Times New Roman" w:cs="Times New Roman"/>
        </w:rPr>
        <w:t>Not Applicable</w:t>
      </w:r>
      <w:r>
        <w:rPr>
          <w:rFonts w:hint="default" w:ascii="Times New Roman" w:hAnsi="Times New Roman" w:cs="Times New Roman"/>
          <w:lang w:val="en-US" w:eastAsia="zh-CN"/>
        </w:rPr>
        <w:t>.</w:t>
      </w:r>
    </w:p>
    <w:p w14:paraId="005D08AA">
      <w:pPr>
        <w:pStyle w:val="2"/>
        <w:numPr>
          <w:ilvl w:val="0"/>
          <w:numId w:val="2"/>
        </w:numPr>
        <w:ind w:left="567" w:leftChars="0" w:hanging="567" w:firstLineChars="0"/>
        <w:rPr>
          <w:rFonts w:hint="default" w:ascii="Times New Roman" w:hAnsi="Times New Roman" w:cs="Times New Roman" w:eastAsiaTheme="minorEastAsia"/>
          <w:bCs/>
          <w:lang w:val="en-GB"/>
        </w:rPr>
      </w:pPr>
      <w:r>
        <w:rPr>
          <w:rFonts w:hint="default" w:ascii="Times New Roman" w:hAnsi="Times New Roman" w:cs="Times New Roman" w:eastAsiaTheme="minorEastAsia"/>
          <w:bCs/>
          <w:lang w:val="en-GB"/>
        </w:rPr>
        <w:t>References</w:t>
      </w:r>
    </w:p>
    <w:p w14:paraId="277BC2AE">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[1]</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Min QW. Research priorities, problems and countermeasures of important agricultural heritage systems and their conservation. Chinese Journal of Eco-Agriculture. 2020; 28(9): 1285–93.</w:t>
      </w:r>
    </w:p>
    <w:p w14:paraId="6A9C689C">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[2]</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FAO. Globally Important Agricultural Heritage Systems (GIAHS). 2017. Available at: http://www.fao.org/giahs/background/en/.</w:t>
      </w:r>
    </w:p>
    <w:p w14:paraId="6487C600">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[3]</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Agnoletti M, Emanueli F, Corrieri F, Venturi M, Santoro A. Monitoring traditional rural landscapes: The case of Italy. Sustainability. 2019; 11: 6107. doi: 10.3390/su11216107.</w:t>
      </w:r>
    </w:p>
    <w:p w14:paraId="31178746">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[4]</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Zhang Y, Li X, Min Q. How to balance the relationship between conservation of Important Agricultural Heritage Systems (IAHS) and socio–economic development? A theoretical framework of sustainable industrial integration development. Journal of Cleaner Production. 2018; 204: 553–63. doi: 10.1016/j.jclepro.2018.09.016.</w:t>
      </w:r>
    </w:p>
    <w:p w14:paraId="2ACF8CCB">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[5]</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Min QW. Globally Important Agricultural Cultural Heritage—A new type of world heritage. Resources Science. 2006; 28(4): 206–8.</w:t>
      </w:r>
    </w:p>
    <w:p w14:paraId="41CF8EFC">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[6]</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Kohsaka R, Matsuoka H, Uchiyama Y, Rogel M. Regional management and biodiversity conservation in GIAHS: Text analysis of municipal strategy and tourism management. Ecosystem Health and Sustainability. 2019; 5(1): 124–</w:t>
      </w:r>
      <w:r>
        <w:rPr>
          <w:rFonts w:hint="eastAsia" w:eastAsia="楷体" w:cs="Times New Roman"/>
          <w:sz w:val="24"/>
          <w:lang w:val="en-US" w:eastAsia="zh-CN"/>
        </w:rPr>
        <w:t>1</w:t>
      </w:r>
      <w:r>
        <w:rPr>
          <w:rFonts w:hint="default" w:ascii="Times New Roman" w:hAnsi="Times New Roman" w:eastAsia="楷体" w:cs="Times New Roman"/>
          <w:sz w:val="24"/>
          <w:lang w:val="en-US" w:eastAsia="zh-CN"/>
        </w:rPr>
        <w:t>32. doi: 10.1080/20964129.2019.1596651.</w:t>
      </w:r>
    </w:p>
    <w:p w14:paraId="0CE94086">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[7]</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Kohsaka R, Matsuoka H. Analysis of Japanese Municipalities with Geopark, MAB, and GIAHS Certification: Quantitative Approach to Official Records with Text–Mining Methods. SAGE Open. 2015; 5(4). doi: 10.1177/2158244015614548.</w:t>
      </w:r>
    </w:p>
    <w:p w14:paraId="18DE9335">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[8]</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Kajima S, Tanaka Y, Uchiyama Y. Japanese sake and tea as place–based products: A comparison of regional certifications of GIAHS, Geopark, Biosphere Reserves, and GI at product level certification. Journal of Ethnic Foods. 2017; 4(2): 80–87. doi: 10.1016/j.jef.2017.05.006.</w:t>
      </w:r>
    </w:p>
    <w:p w14:paraId="57982F84">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[9]</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Uchiyama Y, Tanaka Y, Matsuoka H. Expectations of residents and tourists of agriculture–related certification systems: Analysis of public perceptions. Journal of Ethnic Foods. 2017;  4(2): 110–</w:t>
      </w:r>
      <w:r>
        <w:rPr>
          <w:rFonts w:hint="eastAsia" w:eastAsia="楷体" w:cs="Times New Roman"/>
          <w:sz w:val="24"/>
          <w:lang w:val="en-US" w:eastAsia="zh-CN"/>
        </w:rPr>
        <w:t>1</w:t>
      </w:r>
      <w:r>
        <w:rPr>
          <w:rFonts w:hint="default" w:ascii="Times New Roman" w:hAnsi="Times New Roman" w:eastAsia="楷体" w:cs="Times New Roman"/>
          <w:sz w:val="24"/>
          <w:lang w:val="en-US" w:eastAsia="zh-CN"/>
        </w:rPr>
        <w:t>17. doi: 10.1016/j.jef.2017.05.003.</w:t>
      </w:r>
    </w:p>
    <w:p w14:paraId="2C514423">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[10]</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Nagata A, Yiu E. Ten years of GIAHS development in Japan. Journal of Resources and Ecology. 2021; 12(4): 567–</w:t>
      </w:r>
      <w:r>
        <w:rPr>
          <w:rFonts w:hint="eastAsia" w:eastAsia="楷体" w:cs="Times New Roman"/>
          <w:sz w:val="24"/>
          <w:lang w:val="en-US" w:eastAsia="zh-CN"/>
        </w:rPr>
        <w:t>5</w:t>
      </w:r>
      <w:r>
        <w:rPr>
          <w:rFonts w:hint="default" w:ascii="Times New Roman" w:hAnsi="Times New Roman" w:eastAsia="楷体" w:cs="Times New Roman"/>
          <w:sz w:val="24"/>
          <w:lang w:val="en-US" w:eastAsia="zh-CN"/>
        </w:rPr>
        <w:t>77. doi: 10.5814/j.issn.1674–764x.2021.04.012.</w:t>
      </w:r>
    </w:p>
    <w:p w14:paraId="64B80302">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[11]</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Zhang Y, He L, Min Q. Research progress of domestic agricultural cultural heritage based on literature statistics. Resources Science. 2017; 39(2): 175–</w:t>
      </w:r>
      <w:r>
        <w:rPr>
          <w:rFonts w:hint="eastAsia" w:eastAsia="楷体" w:cs="Times New Roman"/>
          <w:sz w:val="24"/>
          <w:lang w:val="en-US" w:eastAsia="zh-CN"/>
        </w:rPr>
        <w:t>1</w:t>
      </w:r>
      <w:r>
        <w:rPr>
          <w:rFonts w:hint="default" w:ascii="Times New Roman" w:hAnsi="Times New Roman" w:eastAsia="楷体" w:cs="Times New Roman"/>
          <w:sz w:val="24"/>
          <w:lang w:val="en-US" w:eastAsia="zh-CN"/>
        </w:rPr>
        <w:t>87.</w:t>
      </w:r>
    </w:p>
    <w:p w14:paraId="1E799065">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[12]</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Jiao W, Yu Z, Sun Y, Liu Y. An analytical framework for formulating conservation and development measures for Important Agricultural Heritage Systems. Sustainability. 2023; 15(5): 4439. doi: 10.3390/su15054439.</w:t>
      </w:r>
    </w:p>
    <w:p w14:paraId="4FF5993C">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[13]</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Chen Y, Munteanu A, Huang Y. Mapping receptor density on live cells by using fluorescence correlation spectroscopy. Chemistry–A European Journal. 2009; 15(21): 5327–</w:t>
      </w:r>
      <w:r>
        <w:rPr>
          <w:rFonts w:hint="eastAsia" w:eastAsia="楷体" w:cs="Times New Roman"/>
          <w:sz w:val="24"/>
          <w:lang w:val="en-US" w:eastAsia="zh-CN"/>
        </w:rPr>
        <w:t>53</w:t>
      </w:r>
      <w:r>
        <w:rPr>
          <w:rFonts w:hint="default" w:ascii="Times New Roman" w:hAnsi="Times New Roman" w:eastAsia="楷体" w:cs="Times New Roman"/>
          <w:sz w:val="24"/>
          <w:lang w:val="en-US" w:eastAsia="zh-CN"/>
        </w:rPr>
        <w:t>36. doi: 10.1002/chem.200802305.</w:t>
      </w:r>
    </w:p>
    <w:p w14:paraId="58EEAFC0">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[14]</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Faust O, Hagiwara Y, Hong T. Deep learning for healthcare applications based on physiological signals: A review. Computer Methods and Programs in Biomedicine. 2018; 161: 1–13. doi: 10.1016/j.cmpb.2018.04.005.</w:t>
      </w:r>
    </w:p>
    <w:p w14:paraId="4A23EB73">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[15]</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Chen C. CiteSpace II: Detecting and visualizing emerging trends and transient patterns in scientific literature. Journal of the Association for Information Science and Technology. 2006; 57(3): 359–</w:t>
      </w:r>
      <w:r>
        <w:rPr>
          <w:rFonts w:hint="eastAsia" w:eastAsia="楷体" w:cs="Times New Roman"/>
          <w:sz w:val="24"/>
          <w:lang w:val="en-US" w:eastAsia="zh-CN"/>
        </w:rPr>
        <w:t>3</w:t>
      </w:r>
      <w:r>
        <w:rPr>
          <w:rFonts w:hint="default" w:ascii="Times New Roman" w:hAnsi="Times New Roman" w:eastAsia="楷体" w:cs="Times New Roman"/>
          <w:sz w:val="24"/>
          <w:lang w:val="en-US" w:eastAsia="zh-CN"/>
        </w:rPr>
        <w:t>77. doi: 10.1002/asi.20317.</w:t>
      </w:r>
    </w:p>
    <w:p w14:paraId="6752238F">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[16]</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Freeman LC. Centrality in social networks: Conceptual clarification. Soc Networks. 1978; 1(3): 215–</w:t>
      </w:r>
      <w:r>
        <w:rPr>
          <w:rFonts w:hint="eastAsia" w:eastAsia="楷体" w:cs="Times New Roman"/>
          <w:sz w:val="24"/>
          <w:lang w:val="en-US" w:eastAsia="zh-CN"/>
        </w:rPr>
        <w:t>2</w:t>
      </w:r>
      <w:r>
        <w:rPr>
          <w:rFonts w:hint="default" w:ascii="Times New Roman" w:hAnsi="Times New Roman" w:eastAsia="楷体" w:cs="Times New Roman"/>
          <w:sz w:val="24"/>
          <w:lang w:val="en-US" w:eastAsia="zh-CN"/>
        </w:rPr>
        <w:t>39. doi: 10.1016/0378–8733(78)90021–7.</w:t>
      </w:r>
    </w:p>
    <w:p w14:paraId="2429D518">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[17]</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Cheng F, Huang Y, Yu H. Mapping knowledge structure by keyword co–occurrence and social network analysis. Library Hi Tech. 2018; 36(4): 636–</w:t>
      </w:r>
      <w:r>
        <w:rPr>
          <w:rFonts w:hint="eastAsia" w:eastAsia="楷体" w:cs="Times New Roman"/>
          <w:sz w:val="24"/>
          <w:lang w:val="en-US" w:eastAsia="zh-CN"/>
        </w:rPr>
        <w:t>6</w:t>
      </w:r>
      <w:r>
        <w:rPr>
          <w:rFonts w:hint="default" w:ascii="Times New Roman" w:hAnsi="Times New Roman" w:eastAsia="楷体" w:cs="Times New Roman"/>
          <w:sz w:val="24"/>
          <w:lang w:val="en-US" w:eastAsia="zh-CN"/>
        </w:rPr>
        <w:t>50. doi: 10.1108/LHT–01–2018–0004.</w:t>
      </w:r>
    </w:p>
    <w:p w14:paraId="62661978">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[18]</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Chen C, Dubin R, Kim M. Emerging trends and new developments in regenerative medicine: A scientometric update (2000–2014). Expert Opinion on Biological Therapy. 2014;</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14(9):</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1295–1317. doi: 10.1517/14712598.2014.920813.</w:t>
      </w:r>
    </w:p>
    <w:p w14:paraId="43F760B9">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[19]</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Song H, Chen P, Zhang Y, Chen Y. Study progress of Important Agricultural Heritage Systems (IAHS): A literature analysis. Sustainability. 2021; 13(19): 10859. doi: 10.3390/su131910859.</w:t>
      </w:r>
    </w:p>
    <w:p w14:paraId="5E858C7E">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[20]</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Abrahart RJ, et al. Two decades of anarchy? Emerging themes and outstanding challenges for neural network river forecasting. Progress in Physical Geography: Earth and Environment. 2012; 36(4): 480–513. doi: 10.1177/0309133312444943.</w:t>
      </w:r>
    </w:p>
    <w:p w14:paraId="2938C9C9">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[21]</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Tucci G, Parisi E, Castelli G. Multi–sensor UAV application for thermal analysis on a dry–stone terraced vineyard in rural Tuscany landscape. ISPRS International Journal of Geo-Information. 2019; 8(2): 87. doi: 10.3390/ijgi8020087.</w:t>
      </w:r>
    </w:p>
    <w:p w14:paraId="11BE56F4">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[22]</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Santoro A, Venturi M, Ben Maachia S, Benyahia F, Corrieri F, Piras F, Agnoletti M. Agroforestry Heritage Systems as Agrobiodiversity Hotspots: The case of the Mountain Oases of Tunisia. Sustainability. 2020; 12(10): 4054. doi: 10.3390/su12104054.</w:t>
      </w:r>
    </w:p>
    <w:p w14:paraId="07A557F9">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[23]</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Santoro A, Venturi M, Bertani R, Agnoletti M. A review of the role of forests and agroforestry systems in the FAO Globally Important Agricultural Heritage Systems (GIAHS) programme. Forests. 2020; 11(8): 860. doi: 10.3390/f11080860.</w:t>
      </w:r>
    </w:p>
    <w:p w14:paraId="73C5BBDC">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[24]</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Lu X, Wang Z, Zhao M, Peng S, Geng S, Ghorbani H. Data–Driven Insights into Climate Change Effects on Groundwater Levels Using Machine Learning. Water Resour Manage (2025). https://doi.org/10.1007/s11269-025-04120-x</w:t>
      </w:r>
    </w:p>
    <w:p w14:paraId="3A7B0CD5">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[25]</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Ren W, Hu L, Guo L. PNAS Plus: Preservation of the genetic diversity of a local common carp in the agricultural heritage rice–fish system. PNAS. 2018; 115(3): E546–E554. doi: 10.1073/pnas.1709582115.</w:t>
      </w:r>
    </w:p>
    <w:p w14:paraId="3D626FE3">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[26]</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Cucchiaro S, Fallu DJ, Zhang H. Multiplatform–SFM and TLS data fusion for monitoring agricultural terraces in complex topographic and landcover conditions. Remote Sens. 2020; 12(12): 1946. doi: 10.3390/rs12121946.</w:t>
      </w:r>
    </w:p>
    <w:p w14:paraId="304D3FE0">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[27]</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Regina L, Jan B, Åke B. A landscape perspective on conservation of semi–natural grasslands. Agriculture, Ecosystems &amp; Environment. 2008; 125(1–4): 213–</w:t>
      </w:r>
      <w:r>
        <w:rPr>
          <w:rFonts w:hint="eastAsia" w:eastAsia="楷体" w:cs="Times New Roman"/>
          <w:sz w:val="24"/>
          <w:lang w:val="en-US" w:eastAsia="zh-CN"/>
        </w:rPr>
        <w:t>2</w:t>
      </w:r>
      <w:r>
        <w:rPr>
          <w:rFonts w:hint="default" w:ascii="Times New Roman" w:hAnsi="Times New Roman" w:eastAsia="楷体" w:cs="Times New Roman"/>
          <w:sz w:val="24"/>
          <w:lang w:val="en-US" w:eastAsia="zh-CN"/>
        </w:rPr>
        <w:t>22. doi: 10.1016/j.agee.2007.12.006.</w:t>
      </w:r>
    </w:p>
    <w:p w14:paraId="2BD6ADF8">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[28]</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Calvo–Iglesias MS, Crecente–Maseda R, Fra–Paleo U. A case study from NW Spain. Journal of Architectural Engineering. 2006; 78(3): 334–</w:t>
      </w:r>
      <w:r>
        <w:rPr>
          <w:rFonts w:hint="eastAsia" w:eastAsia="楷体" w:cs="Times New Roman"/>
          <w:sz w:val="24"/>
          <w:lang w:val="en-US" w:eastAsia="zh-CN"/>
        </w:rPr>
        <w:t>3</w:t>
      </w:r>
      <w:r>
        <w:rPr>
          <w:rFonts w:hint="default" w:ascii="Times New Roman" w:hAnsi="Times New Roman" w:eastAsia="楷体" w:cs="Times New Roman"/>
          <w:sz w:val="24"/>
          <w:lang w:val="en-US" w:eastAsia="zh-CN"/>
        </w:rPr>
        <w:t>43.</w:t>
      </w:r>
    </w:p>
    <w:p w14:paraId="44C931BE">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[29]</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Munroe D. Changing rural landscapes in Albania: Cropland abandonment and forest clearing in the postsocialist transition. Annals of the American Association of Geographers. 2008; 98(4): 855–</w:t>
      </w:r>
      <w:r>
        <w:rPr>
          <w:rFonts w:hint="eastAsia" w:eastAsia="楷体" w:cs="Times New Roman"/>
          <w:sz w:val="24"/>
          <w:lang w:val="en-US" w:eastAsia="zh-CN"/>
        </w:rPr>
        <w:t>8</w:t>
      </w:r>
      <w:r>
        <w:rPr>
          <w:rFonts w:hint="default" w:ascii="Times New Roman" w:hAnsi="Times New Roman" w:eastAsia="楷体" w:cs="Times New Roman"/>
          <w:sz w:val="24"/>
          <w:lang w:val="en-US" w:eastAsia="zh-CN"/>
        </w:rPr>
        <w:t>76. doi: 10.1080/00045600802262323.</w:t>
      </w:r>
    </w:p>
    <w:p w14:paraId="0EE14BBF">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[30]</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Sun Y, Cheng S. Tourism potential of agricultural heritage systems. Tourism Geographies. 2011; 13(1): 112–</w:t>
      </w:r>
      <w:r>
        <w:rPr>
          <w:rFonts w:hint="eastAsia" w:eastAsia="楷体" w:cs="Times New Roman"/>
          <w:sz w:val="24"/>
          <w:lang w:val="en-US" w:eastAsia="zh-CN"/>
        </w:rPr>
        <w:t>1</w:t>
      </w:r>
      <w:r>
        <w:rPr>
          <w:rFonts w:hint="default" w:ascii="Times New Roman" w:hAnsi="Times New Roman" w:eastAsia="楷体" w:cs="Times New Roman"/>
          <w:sz w:val="24"/>
          <w:lang w:val="en-US" w:eastAsia="zh-CN"/>
        </w:rPr>
        <w:t>28. doi: 10.1080/14616688.2010.529932.</w:t>
      </w:r>
    </w:p>
    <w:p w14:paraId="0611871F">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[31]</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Indrawan M, Yabe M, Nomura H, Harrison R. Deconstructing satoyama—The socio–ecological landscape in Japan. Ecological engineering. 2014; 64: 77–84. doi: 10.1016/j.ecoleng.2013.12.038.</w:t>
      </w:r>
    </w:p>
    <w:p w14:paraId="37DEE9AB">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[32]</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Qiu Z, Chen B, Takemoto K. Conservation of terraced paddy fields engaged with multiple stakeholders: The case of the Noto GIAHS site in Japan. Paddy and Water Environment. 2014; 12(1): 275–</w:t>
      </w:r>
      <w:r>
        <w:rPr>
          <w:rFonts w:hint="eastAsia" w:eastAsia="楷体" w:cs="Times New Roman"/>
          <w:sz w:val="24"/>
          <w:lang w:val="en-US" w:eastAsia="zh-CN"/>
        </w:rPr>
        <w:t>2</w:t>
      </w:r>
      <w:r>
        <w:rPr>
          <w:rFonts w:hint="default" w:ascii="Times New Roman" w:hAnsi="Times New Roman" w:eastAsia="楷体" w:cs="Times New Roman"/>
          <w:sz w:val="24"/>
          <w:lang w:val="en-US" w:eastAsia="zh-CN"/>
        </w:rPr>
        <w:t>83. doi: 10.1007/s10333–013–0387–x.</w:t>
      </w:r>
    </w:p>
    <w:p w14:paraId="0F7A5F6C">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[33]</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Swinton SM, Lupi F, Robertson G, Hamilton SK. Ecosystem services and agriculture: Cultivating agricultural ecosystems for diverse benefits. Ecological Economics. 2007; 64(2): 245–</w:t>
      </w:r>
      <w:r>
        <w:rPr>
          <w:rFonts w:hint="eastAsia" w:eastAsia="楷体" w:cs="Times New Roman"/>
          <w:sz w:val="24"/>
          <w:lang w:val="en-US" w:eastAsia="zh-CN"/>
        </w:rPr>
        <w:t>2</w:t>
      </w:r>
      <w:r>
        <w:rPr>
          <w:rFonts w:hint="default" w:ascii="Times New Roman" w:hAnsi="Times New Roman" w:eastAsia="楷体" w:cs="Times New Roman"/>
          <w:sz w:val="24"/>
          <w:lang w:val="en-US" w:eastAsia="zh-CN"/>
        </w:rPr>
        <w:t>52. doi: 10.1016/j.ecolecon.2007.09.020.</w:t>
      </w:r>
    </w:p>
    <w:p w14:paraId="40CA4AB7">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[34]</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Soriano MA, Herath S. Quantifying the role of traditional rice terraces in regulating water resources: Implications for management and conservation efforts. Agroecology and Sustainable Food Systems. 2018; 42(8): 885–910. doi: 10.1080/21683565.2018.1468381.</w:t>
      </w:r>
    </w:p>
    <w:p w14:paraId="00F70D2B">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[35]</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Kamiyama C, Hashimoto S, Kohsaka R, Saito O. Non–market food provisioning services via homegardens and communal sharing in Satoyama socio–ecological production landscapes on Japan’s Noto Peninsula. Ecosystem Services. 2016; 17: 185–</w:t>
      </w:r>
      <w:r>
        <w:rPr>
          <w:rFonts w:hint="eastAsia" w:eastAsia="楷体" w:cs="Times New Roman"/>
          <w:sz w:val="24"/>
          <w:lang w:val="en-US" w:eastAsia="zh-CN"/>
        </w:rPr>
        <w:t>1</w:t>
      </w:r>
      <w:r>
        <w:rPr>
          <w:rFonts w:hint="default" w:ascii="Times New Roman" w:hAnsi="Times New Roman" w:eastAsia="楷体" w:cs="Times New Roman"/>
          <w:sz w:val="24"/>
          <w:lang w:val="en-US" w:eastAsia="zh-CN"/>
        </w:rPr>
        <w:t>96. doi: 10.1016/j.ecoser.2015.12.010.</w:t>
      </w:r>
    </w:p>
    <w:p w14:paraId="3E19380F">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[36]</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Rudev V. The factor of local cultural specificity and process of globalization. Collegium Antropologicum. 2012; 36(4): 1135–</w:t>
      </w:r>
      <w:r>
        <w:rPr>
          <w:rFonts w:hint="eastAsia" w:eastAsia="楷体" w:cs="Times New Roman"/>
          <w:sz w:val="24"/>
          <w:lang w:val="en-US" w:eastAsia="zh-CN"/>
        </w:rPr>
        <w:t>113</w:t>
      </w:r>
      <w:r>
        <w:rPr>
          <w:rFonts w:hint="default" w:ascii="Times New Roman" w:hAnsi="Times New Roman" w:eastAsia="楷体" w:cs="Times New Roman"/>
          <w:sz w:val="24"/>
          <w:lang w:val="en-US" w:eastAsia="zh-CN"/>
        </w:rPr>
        <w:t>8.</w:t>
      </w:r>
    </w:p>
    <w:p w14:paraId="3EDBEC45">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[37]</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Brodie J, Pearson RG. Ecosystem health of the Great Barrier Reef: Time for effective management action based on evidence. Estuarine, Coastal and Shelf Science. 2016; 183:438–</w:t>
      </w:r>
      <w:r>
        <w:rPr>
          <w:rFonts w:hint="eastAsia" w:eastAsia="楷体" w:cs="Times New Roman"/>
          <w:sz w:val="24"/>
          <w:lang w:val="en-US" w:eastAsia="zh-CN"/>
        </w:rPr>
        <w:t>4</w:t>
      </w:r>
      <w:r>
        <w:rPr>
          <w:rFonts w:hint="default" w:ascii="Times New Roman" w:hAnsi="Times New Roman" w:eastAsia="楷体" w:cs="Times New Roman"/>
          <w:sz w:val="24"/>
          <w:lang w:val="en-US" w:eastAsia="zh-CN"/>
        </w:rPr>
        <w:t>51. doi: 10.1016/j.ecss.2016.05.008.</w:t>
      </w:r>
    </w:p>
    <w:p w14:paraId="571AC039">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[38]</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Zhang Y, He L. Promoting the conservation of important agricultural heritage systems through industrial integration development: Practices from China. Journal of Resources and Ecology. 2021; 12(4): 555–</w:t>
      </w:r>
      <w:r>
        <w:rPr>
          <w:rFonts w:hint="eastAsia" w:eastAsia="楷体" w:cs="Times New Roman"/>
          <w:sz w:val="24"/>
          <w:lang w:val="en-US" w:eastAsia="zh-CN"/>
        </w:rPr>
        <w:t>5</w:t>
      </w:r>
      <w:r>
        <w:rPr>
          <w:rFonts w:hint="default" w:ascii="Times New Roman" w:hAnsi="Times New Roman" w:eastAsia="楷体" w:cs="Times New Roman"/>
          <w:sz w:val="24"/>
          <w:lang w:val="en-US" w:eastAsia="zh-CN"/>
        </w:rPr>
        <w:t>66. doi: 10.5814/j.issn.1674–764x.2021.04.011.</w:t>
      </w:r>
    </w:p>
    <w:p w14:paraId="3D5D62A8">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[39]</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Zhang Y, Li X. Protecting traditional agricultural landscapes by promoting industrial integration development: Practices from Important Agricultural Heritage Systems (IAHS) sites in China. Land. 2022;</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11(8): 1286. doi: 10.3390/land11081286.</w:t>
      </w:r>
    </w:p>
    <w:p w14:paraId="7BD8DE09">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[40]</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Chen C. Emerging trends in regenerative medicine: A scientometric analysis in CiteSpace. Expert Opin Biol Ther. 2012; 12(5): 593–608. doi: 10.1517/14712598.2012.674507.</w:t>
      </w:r>
    </w:p>
    <w:p w14:paraId="4D9C9952">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[41]</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Cullotta S, Barbera G. Mapping traditional cultural landscapes in the Mediterranean area using a combined multidisciplinary approach: Method and application to Mount Etna (Sicily; Italy). Landscape and Urban Planning. 2011; 100(1–2): 98–108. doi: 10.1016/j.landurbplan.2010.11.012.</w:t>
      </w:r>
    </w:p>
    <w:p w14:paraId="6452C65C">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[42]</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Tian M, Min Q, Jiao W, Yuan Z. Agricultural heritage systems tourism: Definition, characteristics and development framework.  Journal of Mountain Science. 2016; 13(1): 72–86. doi: 10.1007/s11629–015–3604–9.</w:t>
      </w:r>
    </w:p>
    <w:p w14:paraId="74052C9E">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[43]</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Barrena J, Nahuelhual L, Baez A, Schiappacasse I, Cerda C. Valuing cultural ecosystem services: Agricultural heritage in Chiloe Island, southern Chile. Ecosystem Services. 2014; 7:</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66–75. doi: 10.1016/j.ecoser.2013.09.006.</w:t>
      </w:r>
    </w:p>
    <w:p w14:paraId="7943EFD5">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[44]</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Lu X, Li Y, Wei H, Wang J, Liu X, Wei J. A Model Combining Optuna and the Light Gradient–Boosting Machine Algorithm for Credit Default Forecasting. Journal of Risk Model Validation. 2024; 18(3)</w:t>
      </w:r>
      <w:r>
        <w:rPr>
          <w:rFonts w:hint="eastAsia" w:eastAsia="楷体" w:cs="Times New Roman"/>
          <w:sz w:val="24"/>
          <w:lang w:val="en-US" w:eastAsia="zh-CN"/>
        </w:rPr>
        <w:t>: 1</w:t>
      </w:r>
      <w:r>
        <w:rPr>
          <w:rFonts w:hint="default" w:ascii="Times New Roman" w:hAnsi="Times New Roman" w:eastAsia="楷体" w:cs="Times New Roman"/>
          <w:sz w:val="24"/>
          <w:lang w:val="en-US" w:eastAsia="zh-CN"/>
        </w:rPr>
        <w:t>–</w:t>
      </w:r>
      <w:r>
        <w:rPr>
          <w:rFonts w:hint="eastAsia" w:eastAsia="楷体" w:cs="Times New Roman"/>
          <w:sz w:val="24"/>
          <w:lang w:val="en-US" w:eastAsia="zh-CN"/>
        </w:rPr>
        <w:t>25</w:t>
      </w:r>
      <w:r>
        <w:rPr>
          <w:rFonts w:hint="default" w:ascii="Times New Roman" w:hAnsi="Times New Roman" w:eastAsia="楷体" w:cs="Times New Roman"/>
          <w:sz w:val="24"/>
          <w:lang w:val="en-US" w:eastAsia="zh-CN"/>
        </w:rPr>
        <w:t>.</w:t>
      </w:r>
    </w:p>
    <w:p w14:paraId="64046D6B">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[45]</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Kemp DR, Michalk DL. Towards sustainable grassland and livestock management. The Journal of Agricultural Science. 2007; 145(6): 543–</w:t>
      </w:r>
      <w:r>
        <w:rPr>
          <w:rFonts w:hint="eastAsia" w:eastAsia="楷体" w:cs="Times New Roman"/>
          <w:sz w:val="24"/>
          <w:lang w:val="en-US" w:eastAsia="zh-CN"/>
        </w:rPr>
        <w:t>5</w:t>
      </w:r>
      <w:r>
        <w:rPr>
          <w:rFonts w:hint="default" w:ascii="Times New Roman" w:hAnsi="Times New Roman" w:eastAsia="楷体" w:cs="Times New Roman"/>
          <w:sz w:val="24"/>
          <w:lang w:val="en-US" w:eastAsia="zh-CN"/>
        </w:rPr>
        <w:t>64. doi: 10.1017/S0021859607007251.</w:t>
      </w:r>
    </w:p>
    <w:p w14:paraId="6A9AA5F3">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[46]</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Diniz FH, Hoogstra–Klein MA, Kok K, Arts B. Livelihood strategies in settlement projects in the Brazilian Amazon: Determining drivers and factors within the agrarian reform program. Journal of Rural Studies. 2013; 32: 196–207. doi: 10.1016/j.jrurstud.2013.07.004.</w:t>
      </w:r>
    </w:p>
    <w:p w14:paraId="4EA4FE93">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[47]</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Tian M, Min Q, Lun F, Yuan Z, Fuller A, Yang L, Zhou J. Evaluation of tourism water capacity in agricultural heritage sites. Sustainability. 2015; 7(11): 15548–</w:t>
      </w:r>
      <w:r>
        <w:rPr>
          <w:rFonts w:hint="eastAsia" w:eastAsia="楷体" w:cs="Times New Roman"/>
          <w:sz w:val="24"/>
          <w:lang w:val="en-US" w:eastAsia="zh-CN"/>
        </w:rPr>
        <w:t>155</w:t>
      </w:r>
      <w:r>
        <w:rPr>
          <w:rFonts w:hint="default" w:ascii="Times New Roman" w:hAnsi="Times New Roman" w:eastAsia="楷体" w:cs="Times New Roman"/>
          <w:sz w:val="24"/>
          <w:lang w:val="en-US" w:eastAsia="zh-CN"/>
        </w:rPr>
        <w:t>69. doi: 10.3390/su71115548.</w:t>
      </w:r>
    </w:p>
    <w:p w14:paraId="16E7DB74">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[48]</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Li J, Min QW, Li WH, Bai YY, Yang L, Bijaya GCD. Evaluation of water resources conserved by forests in the Hani rice terraces system of Honghe County, Yunnan, China: An application of the fuzzy comprehensive evaluation model. Journal of Mountain Science. 2016; 13(4): 744–</w:t>
      </w:r>
      <w:r>
        <w:rPr>
          <w:rFonts w:hint="eastAsia" w:eastAsia="楷体" w:cs="Times New Roman"/>
          <w:sz w:val="24"/>
          <w:lang w:val="en-US" w:eastAsia="zh-CN"/>
        </w:rPr>
        <w:t>7</w:t>
      </w:r>
      <w:r>
        <w:rPr>
          <w:rFonts w:hint="default" w:ascii="Times New Roman" w:hAnsi="Times New Roman" w:eastAsia="楷体" w:cs="Times New Roman"/>
          <w:sz w:val="24"/>
          <w:lang w:val="en-US" w:eastAsia="zh-CN"/>
        </w:rPr>
        <w:t>53. doi: 10.1007/s11629–015–3495–9.</w:t>
      </w:r>
    </w:p>
    <w:p w14:paraId="4AB7BC08">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[49]</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Manrique Anticona CE, Yagüe Blanco JL, Pascual Castaño IC. Characterization of potential Spanish territories for creating a national network associated with the Globally Important Agricultural Heritage Systems. Land Use Policy. 2023; 131: 106667. doi: 10.1016/j.landusepol.2023.106667.</w:t>
      </w:r>
    </w:p>
    <w:p w14:paraId="245CD258">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[50]</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Tansuchat R, Plaiphum S. Assessing food and livelihood security in sea salt community: A GIAHS study in Ban Laem, Phetchaburi, Thailand. Sustainability. 2023; 15(21): 15229. doi: 10.3390/su152115229.</w:t>
      </w:r>
    </w:p>
    <w:p w14:paraId="39D6AD75">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[51]</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Bernues A, Clemetsen M, Eik LO. Seeing Northern European Fjord and Mountain Agriculture through Farmers’ Eyes. Mt Res Dev. 2016; 36(3): 276–</w:t>
      </w:r>
      <w:r>
        <w:rPr>
          <w:rFonts w:hint="eastAsia" w:eastAsia="楷体" w:cs="Times New Roman"/>
          <w:sz w:val="24"/>
          <w:lang w:val="en-US" w:eastAsia="zh-CN"/>
        </w:rPr>
        <w:t>2</w:t>
      </w:r>
      <w:r>
        <w:rPr>
          <w:rFonts w:hint="default" w:ascii="Times New Roman" w:hAnsi="Times New Roman" w:eastAsia="楷体" w:cs="Times New Roman"/>
          <w:sz w:val="24"/>
          <w:lang w:val="en-US" w:eastAsia="zh-CN"/>
        </w:rPr>
        <w:t>85. doi: 10.1659/MRD–JOURNAL–D–15–00075.1.</w:t>
      </w:r>
    </w:p>
    <w:p w14:paraId="07E1DF71">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[52]</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Dedeurwaerdere T, Hannachi M. Socio–economic drivers of coexistence of landraces and modern crop varieties in agrobiodiversity rich Yunnan rice fields. Ecological Economics. 2019; 159: 177–</w:t>
      </w:r>
      <w:r>
        <w:rPr>
          <w:rFonts w:hint="eastAsia" w:eastAsia="楷体" w:cs="Times New Roman"/>
          <w:sz w:val="24"/>
          <w:lang w:val="en-US" w:eastAsia="zh-CN"/>
        </w:rPr>
        <w:t>1</w:t>
      </w:r>
      <w:r>
        <w:rPr>
          <w:rFonts w:hint="default" w:ascii="Times New Roman" w:hAnsi="Times New Roman" w:eastAsia="楷体" w:cs="Times New Roman"/>
          <w:sz w:val="24"/>
          <w:lang w:val="en-US" w:eastAsia="zh-CN"/>
        </w:rPr>
        <w:t>88. doi: 10.1016/j.ecolecon.2019.01.025.</w:t>
      </w:r>
    </w:p>
    <w:p w14:paraId="28E3203D">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[53]</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Morar M, Agachi PS. Review: Important contributions in development and improvement of the heat integration techniques. Computers &amp; Chemical Engineering. 2010; 34(8): 1171–</w:t>
      </w:r>
      <w:r>
        <w:rPr>
          <w:rFonts w:hint="eastAsia" w:eastAsia="楷体" w:cs="Times New Roman"/>
          <w:sz w:val="24"/>
          <w:lang w:val="en-US" w:eastAsia="zh-CN"/>
        </w:rPr>
        <w:t>117</w:t>
      </w:r>
      <w:r>
        <w:rPr>
          <w:rFonts w:hint="default" w:ascii="Times New Roman" w:hAnsi="Times New Roman" w:eastAsia="楷体" w:cs="Times New Roman"/>
          <w:sz w:val="24"/>
          <w:lang w:val="en-US" w:eastAsia="zh-CN"/>
        </w:rPr>
        <w:t>9. doi: 10.1016/j.compchemeng.2010.03.015.</w:t>
      </w:r>
    </w:p>
    <w:p w14:paraId="6A2EA650">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[54]</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Santoro A, Ongoma V, Ait el Kadi M, et al. Innovation of argan (Argania spinosa (L.) Skeels) products and byproducts for sustainable development of rural communities in Morocco: A systematic literature review. Biodiversity and Conservation. 2023; 32(10): 1–25. doi: 10.1007/s10531–023–02648–1.</w:t>
      </w:r>
    </w:p>
    <w:p w14:paraId="0DF31898">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[55]</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Kroon FJ, Thorburn P, Schaffelke B, Whitten S. Towards protecting the Great Barrier Reef from land–based pollution. Global Change Biol. 2016; 22(6): 1985–2002. doi: 10.1111/gcb.13262.</w:t>
      </w:r>
    </w:p>
    <w:p w14:paraId="3B4017D3">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[56]</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Sibelet N, Chamayou L, Newing H, Montes IG. Perceptions of Trees Outside Forests in Cattle Pastures: Land Sharing Within the Central Volcanic Talamanca Biological Corridor, Costa Rica. Hum Ecol. 2017; 45(4): 499–511. doi: 10.1007/s10745–017–9920–7.</w:t>
      </w:r>
    </w:p>
    <w:p w14:paraId="18F1E124">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[57]</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Garcia MA, Yague JL, de Nicolas VL, Diaz–Puente JM. Characterization of Globally Important Agricultural Heritage Systems (GIAHS) in Europe. Sustainability. 2020; 12(4): 1611. doi: 10.3390/su12041611.</w:t>
      </w:r>
    </w:p>
    <w:p w14:paraId="5B43198C">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[58]</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Zhang Y, Guan C, Li Z, Luo J, Ren B, Chen C, Xu Y, Ding J, Huang H. Review of rice–fish–duck symbiosis system in China—One of the globally important ingenious agricultural heritage systems (GIAHS). Sustainability. 2023; 15(3): 1910. doi: 10.3390/su15031910.</w:t>
      </w:r>
    </w:p>
    <w:p w14:paraId="1EFAEED4">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[59]</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He S, Li H, Min Q. The value and protection subjects of Important Agricultural Heritage Systems from the perspective of farmers. Resources Science. 2020; 42(5): 870–</w:t>
      </w:r>
      <w:r>
        <w:rPr>
          <w:rFonts w:hint="eastAsia" w:eastAsia="楷体" w:cs="Times New Roman"/>
          <w:sz w:val="24"/>
          <w:lang w:val="en-US" w:eastAsia="zh-CN"/>
        </w:rPr>
        <w:t>8</w:t>
      </w:r>
      <w:r>
        <w:rPr>
          <w:rFonts w:hint="default" w:ascii="Times New Roman" w:hAnsi="Times New Roman" w:eastAsia="楷体" w:cs="Times New Roman"/>
          <w:sz w:val="24"/>
          <w:lang w:val="en-US" w:eastAsia="zh-CN"/>
        </w:rPr>
        <w:t>80.</w:t>
      </w:r>
    </w:p>
    <w:p w14:paraId="3B3122D3">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[60]</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Jia H, Chen H. The theoretical logic, practical exploration, and path thinking of mutual learning in GIAHS agricultural civilization.</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Journal of China Agricultural University</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(Social Sciences Edition). 2022; 39(3): 88–99.</w:t>
      </w:r>
    </w:p>
    <w:p w14:paraId="067079D0">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[61]</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Jiao W, Yang X, Min Q. A review of the progress in Globally Important Agricultural Heritage Systems (GIAHS) monitoring. Sustainability. 2022; 14(16): 9958. doi: 10.3390/su14169958.</w:t>
      </w:r>
    </w:p>
    <w:p w14:paraId="2B9DDD59">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[62]</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Hong C, Liu M, Zhang Y. Research on the relationship between farmers' livelihood capital and livelihood strategies in agricultural heritage sites: A case study of the traditional chestnut cultivation system in Kuancheng. J Ecol Ethnol Cult Stud. 2020; 12(5): 101–9.</w:t>
      </w:r>
    </w:p>
    <w:p w14:paraId="345EED24">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[63]</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Su MM, Dong YZ, Wall G, Sun YH. A value–based analysis of the tourism use of agricultural heritage systems: Duotian Agrosystem, Jiangsu Province, China. J Sustain Tour. 2020; 28(12): 2136–</w:t>
      </w:r>
      <w:r>
        <w:rPr>
          <w:rFonts w:hint="eastAsia" w:eastAsia="楷体" w:cs="Times New Roman"/>
          <w:sz w:val="24"/>
          <w:lang w:val="en-US" w:eastAsia="zh-CN"/>
        </w:rPr>
        <w:t>21</w:t>
      </w:r>
      <w:r>
        <w:rPr>
          <w:rFonts w:hint="default" w:ascii="Times New Roman" w:hAnsi="Times New Roman" w:eastAsia="楷体" w:cs="Times New Roman"/>
          <w:sz w:val="24"/>
          <w:lang w:val="en-US" w:eastAsia="zh-CN"/>
        </w:rPr>
        <w:t>55. doi: 10.1080/09669582.2020.1795185.</w:t>
      </w:r>
    </w:p>
    <w:p w14:paraId="1596CF60">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[64]</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Kerr RB. Food security in Northern Malawi: Gender, kinship relations and entitlements in historical context. J South Afr Stud. 2005; 31(1): 53–74. doi: 10.1080/03057070500035668.</w:t>
      </w:r>
    </w:p>
    <w:p w14:paraId="65BDF580">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[65]</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Wondie M, Schneider W, Melesse AM, Teketay D. Spatial and temporal land cover changes in the Simen Mountains National Park, a World Heritage Site in Northwestern Ethiopia. Remote Sens. 2011; 3(4): 752–</w:t>
      </w:r>
      <w:r>
        <w:rPr>
          <w:rFonts w:hint="eastAsia" w:eastAsia="楷体" w:cs="Times New Roman"/>
          <w:sz w:val="24"/>
          <w:lang w:val="en-US" w:eastAsia="zh-CN"/>
        </w:rPr>
        <w:t>7</w:t>
      </w:r>
      <w:r>
        <w:rPr>
          <w:rFonts w:hint="default" w:ascii="Times New Roman" w:hAnsi="Times New Roman" w:eastAsia="楷体" w:cs="Times New Roman"/>
          <w:sz w:val="24"/>
          <w:lang w:val="en-US" w:eastAsia="zh-CN"/>
        </w:rPr>
        <w:t>66. doi: 10.3390/rs3040752.</w:t>
      </w:r>
    </w:p>
    <w:p w14:paraId="611A30C8">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[66]</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Bowen S, Master KD. New rural livelihoods or museums of production? Quality food initiatives in practice. J Rural Stud. 2011; 27(1):</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73–82. doi: 10.1016/j.jrurstud.2010.09.003.</w:t>
      </w:r>
    </w:p>
    <w:p w14:paraId="31B4D920">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[67]</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Altieri MA. Linking ecologists and traditional farmers in the search for sustainable agriculture. Front Ecol Environ. 2004; 2(1): 35–42. doi: 10.1890/1540–9295(2004)002[0035:LEATFI]2.0.CO;2.</w:t>
      </w:r>
    </w:p>
    <w:p w14:paraId="3957D448">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[68]</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Narayan KA, Schleeberger C, Bristow KL. Modelling seawater intrusion in the Burdekin Delta Irrigation Area, North Queensland, Australia. Agricultural Water Management. 2007; 89(3): 217–</w:t>
      </w:r>
      <w:r>
        <w:rPr>
          <w:rFonts w:hint="eastAsia" w:eastAsia="楷体" w:cs="Times New Roman"/>
          <w:sz w:val="24"/>
          <w:lang w:val="en-US" w:eastAsia="zh-CN"/>
        </w:rPr>
        <w:t>2</w:t>
      </w:r>
      <w:r>
        <w:rPr>
          <w:rFonts w:hint="default" w:ascii="Times New Roman" w:hAnsi="Times New Roman" w:eastAsia="楷体" w:cs="Times New Roman"/>
          <w:sz w:val="24"/>
          <w:lang w:val="en-US" w:eastAsia="zh-CN"/>
        </w:rPr>
        <w:t>28. doi: 10.1016/j.agwat.2007.01.002.</w:t>
      </w:r>
    </w:p>
    <w:p w14:paraId="640DD131">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[69]</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Hashimoto S, Nakamura S, Saito O, Kohsaka R, Kamiyama C, Tomiyoshi M, Kishioka T. Mapping and characterizing ecosystem services of social–ecological production landscapes: Case study of Noto, Japan. Sustainability Sci</w:t>
      </w:r>
      <w:r>
        <w:rPr>
          <w:rFonts w:hint="eastAsia" w:eastAsia="楷体" w:cs="Times New Roman"/>
          <w:sz w:val="24"/>
          <w:lang w:val="en-US" w:eastAsia="zh-CN"/>
        </w:rPr>
        <w:t>ence</w:t>
      </w:r>
      <w:r>
        <w:rPr>
          <w:rFonts w:hint="default" w:ascii="Times New Roman" w:hAnsi="Times New Roman" w:eastAsia="楷体" w:cs="Times New Roman"/>
          <w:sz w:val="24"/>
          <w:lang w:val="en-US" w:eastAsia="zh-CN"/>
        </w:rPr>
        <w:t>. 2015; 10(2): 257–</w:t>
      </w:r>
      <w:r>
        <w:rPr>
          <w:rFonts w:hint="eastAsia" w:eastAsia="楷体" w:cs="Times New Roman"/>
          <w:sz w:val="24"/>
          <w:lang w:val="en-US" w:eastAsia="zh-CN"/>
        </w:rPr>
        <w:t>2</w:t>
      </w:r>
      <w:r>
        <w:rPr>
          <w:rFonts w:hint="default" w:ascii="Times New Roman" w:hAnsi="Times New Roman" w:eastAsia="楷体" w:cs="Times New Roman"/>
          <w:sz w:val="24"/>
          <w:lang w:val="en-US" w:eastAsia="zh-CN"/>
        </w:rPr>
        <w:t>73. doi: 10.1007/s11625–014–0285–1.</w:t>
      </w:r>
    </w:p>
    <w:p w14:paraId="226474FD">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[70]</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Ohe Y, Kurihara S. Evaluating the complementary relationship between local brand farm products and rural tourism: Evidence from Japan. Tour Manag</w:t>
      </w:r>
      <w:r>
        <w:rPr>
          <w:rFonts w:hint="eastAsia" w:eastAsia="楷体" w:cs="Times New Roman"/>
          <w:sz w:val="24"/>
          <w:lang w:val="en-US" w:eastAsia="zh-CN"/>
        </w:rPr>
        <w:t>ement</w:t>
      </w:r>
      <w:r>
        <w:rPr>
          <w:rFonts w:hint="default" w:ascii="Times New Roman" w:hAnsi="Times New Roman" w:eastAsia="楷体" w:cs="Times New Roman"/>
          <w:sz w:val="24"/>
          <w:lang w:val="en-US" w:eastAsia="zh-CN"/>
        </w:rPr>
        <w:t>. 2013; 35: 278–</w:t>
      </w:r>
      <w:r>
        <w:rPr>
          <w:rFonts w:hint="eastAsia" w:eastAsia="楷体" w:cs="Times New Roman"/>
          <w:sz w:val="24"/>
          <w:lang w:val="en-US" w:eastAsia="zh-CN"/>
        </w:rPr>
        <w:t>2</w:t>
      </w:r>
      <w:r>
        <w:rPr>
          <w:rFonts w:hint="default" w:ascii="Times New Roman" w:hAnsi="Times New Roman" w:eastAsia="楷体" w:cs="Times New Roman"/>
          <w:sz w:val="24"/>
          <w:lang w:val="en-US" w:eastAsia="zh-CN"/>
        </w:rPr>
        <w:t>83. doi: 10.1016/j.tourman.2012.03.005.</w:t>
      </w:r>
    </w:p>
    <w:p w14:paraId="209FD924">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[71]</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Miyake Y, Uchiyama Y, Fujihira Y, Kohsaka R. Towards evidence–based policy making in GIAHS: Convention theory and effects of GIAHS registration on the wholesale and retail trade of traditional and local vegetables. Sustainability. 2021; 13(9): 5330. doi: 10.3390/su13095330.</w:t>
      </w:r>
    </w:p>
    <w:p w14:paraId="799E82FA">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[72]</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Santoro A, Aguilar EAM, Venturi M, Piras F, Corrieri F, Quintanilla JR, Agnoletti M. The Agroforestry Heritage System of Sabana De Morro in El Salvador. Forests. 2020; 11(7): 747. doi: 10.3390/f11070747.</w:t>
      </w:r>
    </w:p>
    <w:p w14:paraId="3076C709">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[73]</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 xml:space="preserve">Gaydon DS, Probert ME, Buresh RJ, Meinke H, Suriadi A, Dobermann A, Bouman B, Timsina J. Rice in cropping systems—Modelling transitions between flooded and non–flooded soil environments. </w:t>
      </w:r>
      <w:r>
        <w:rPr>
          <w:rFonts w:hint="eastAsia" w:eastAsia="楷体" w:cs="Times New Roman"/>
          <w:sz w:val="24"/>
          <w:lang w:val="en-US" w:eastAsia="zh-CN"/>
        </w:rPr>
        <w:t>European Journal of Agronomy</w:t>
      </w:r>
      <w:r>
        <w:rPr>
          <w:rFonts w:hint="default" w:ascii="Times New Roman" w:hAnsi="Times New Roman" w:eastAsia="楷体" w:cs="Times New Roman"/>
          <w:sz w:val="24"/>
          <w:lang w:val="en-US" w:eastAsia="zh-CN"/>
        </w:rPr>
        <w:t>. 2012; 39: 9–24. doi: 10.1016/j.eja.2012.01.003.</w:t>
      </w:r>
    </w:p>
    <w:p w14:paraId="7075FA4A">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[74]</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Vinceti B, Termote C, Ickowitz A, Powell B, Kehlenbeck K, Hunter D. The contribution of forests and trees to sustainable diets. Sustainability. 2013; 5(11):  4797–4824. doi: 10.3390/su5114797.</w:t>
      </w:r>
    </w:p>
    <w:p w14:paraId="15C36942">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[75]</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 xml:space="preserve">Hennenberg KJ, Dragisic C, Haye S, Hewson J, Semroc B, Savy C, Wiegmann K, Fehrenbach H, Fritsche UR. The power of bioenergy–related standards to protect biodiversity. </w:t>
      </w:r>
      <w:r>
        <w:rPr>
          <w:rFonts w:hint="eastAsia" w:eastAsia="楷体" w:cs="Times New Roman"/>
          <w:sz w:val="24"/>
          <w:lang w:val="en-US" w:eastAsia="zh-CN"/>
        </w:rPr>
        <w:t>Conservation Biology</w:t>
      </w:r>
      <w:r>
        <w:rPr>
          <w:rFonts w:hint="default" w:ascii="Times New Roman" w:hAnsi="Times New Roman" w:eastAsia="楷体" w:cs="Times New Roman"/>
          <w:sz w:val="24"/>
          <w:lang w:val="en-US" w:eastAsia="zh-CN"/>
        </w:rPr>
        <w:t>. 2010; 24(2): 412–</w:t>
      </w:r>
      <w:r>
        <w:rPr>
          <w:rFonts w:hint="eastAsia" w:eastAsia="楷体" w:cs="Times New Roman"/>
          <w:sz w:val="24"/>
          <w:lang w:val="en-US" w:eastAsia="zh-CN"/>
        </w:rPr>
        <w:t>4</w:t>
      </w:r>
      <w:r>
        <w:rPr>
          <w:rFonts w:hint="default" w:ascii="Times New Roman" w:hAnsi="Times New Roman" w:eastAsia="楷体" w:cs="Times New Roman"/>
          <w:sz w:val="24"/>
          <w:lang w:val="en-US" w:eastAsia="zh-CN"/>
        </w:rPr>
        <w:t>23. doi: 10.1111/j.1523–1739.2010.01453.x.</w:t>
      </w:r>
    </w:p>
    <w:p w14:paraId="145FCFAF">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[76]</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 xml:space="preserve">Pautasso M, Aistara G, Barnaud A, Caillon S, Clouvel P. Seed exchange networks for agrobiodiversity conservation: A review. </w:t>
      </w:r>
      <w:r>
        <w:rPr>
          <w:rFonts w:hint="eastAsia" w:eastAsia="楷体" w:cs="Times New Roman"/>
          <w:sz w:val="24"/>
          <w:lang w:val="en-US" w:eastAsia="zh-CN"/>
        </w:rPr>
        <w:t>Agronomy for Sustainable Development</w:t>
      </w:r>
      <w:r>
        <w:rPr>
          <w:rFonts w:hint="default" w:ascii="Times New Roman" w:hAnsi="Times New Roman" w:eastAsia="楷体" w:cs="Times New Roman"/>
          <w:sz w:val="24"/>
          <w:lang w:val="en-US" w:eastAsia="zh-CN"/>
        </w:rPr>
        <w:t>. 2013; 33(1): 151–</w:t>
      </w:r>
      <w:r>
        <w:rPr>
          <w:rFonts w:hint="eastAsia" w:eastAsia="楷体" w:cs="Times New Roman"/>
          <w:sz w:val="24"/>
          <w:lang w:val="en-US" w:eastAsia="zh-CN"/>
        </w:rPr>
        <w:t>1</w:t>
      </w:r>
      <w:r>
        <w:rPr>
          <w:rFonts w:hint="default" w:ascii="Times New Roman" w:hAnsi="Times New Roman" w:eastAsia="楷体" w:cs="Times New Roman"/>
          <w:sz w:val="24"/>
          <w:lang w:val="en-US" w:eastAsia="zh-CN"/>
        </w:rPr>
        <w:t>75. doi: 10.1007/s13593–012–0089–6.</w:t>
      </w:r>
    </w:p>
    <w:p w14:paraId="50C78614">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[77]</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 xml:space="preserve">Shi D. The characteristics, value, and future development of agricultural cultural heritage from the perspective of heritage conservation. </w:t>
      </w:r>
      <w:r>
        <w:rPr>
          <w:rFonts w:hint="eastAsia" w:eastAsia="楷体" w:cs="Times New Roman"/>
          <w:sz w:val="24"/>
          <w:lang w:val="en-US" w:eastAsia="zh-CN"/>
        </w:rPr>
        <w:t>Journal of China Agricultural University (Social Sciences Edition)</w:t>
      </w:r>
      <w:r>
        <w:rPr>
          <w:rFonts w:hint="default" w:ascii="Times New Roman" w:hAnsi="Times New Roman" w:eastAsia="楷体" w:cs="Times New Roman"/>
          <w:sz w:val="24"/>
          <w:lang w:val="en-US" w:eastAsia="zh-CN"/>
        </w:rPr>
        <w:t>. 2022; 39(3): 44–59.</w:t>
      </w:r>
    </w:p>
    <w:p w14:paraId="31CF78BA">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[78]</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 xml:space="preserve">Kandari LS, Phondani PC, Payal KC, Rao KS, Maikhuri RK. Ethnobotanical study towards conservation of medicinal and aromatic plants in upper catchments of Dhauli Ganga in the central Himalaya. </w:t>
      </w:r>
      <w:r>
        <w:rPr>
          <w:rFonts w:hint="eastAsia" w:eastAsia="楷体" w:cs="Times New Roman"/>
          <w:sz w:val="24"/>
          <w:lang w:val="en-US" w:eastAsia="zh-CN"/>
        </w:rPr>
        <w:t>Journal of Mountain Science</w:t>
      </w:r>
      <w:r>
        <w:rPr>
          <w:rFonts w:hint="default" w:ascii="Times New Roman" w:hAnsi="Times New Roman" w:eastAsia="楷体" w:cs="Times New Roman"/>
          <w:sz w:val="24"/>
          <w:lang w:val="en-US" w:eastAsia="zh-CN"/>
        </w:rPr>
        <w:t>. 2012; 9(2): 286–</w:t>
      </w:r>
      <w:r>
        <w:rPr>
          <w:rFonts w:hint="eastAsia" w:eastAsia="楷体" w:cs="Times New Roman"/>
          <w:sz w:val="24"/>
          <w:lang w:val="en-US" w:eastAsia="zh-CN"/>
        </w:rPr>
        <w:t>2</w:t>
      </w:r>
      <w:r>
        <w:rPr>
          <w:rFonts w:hint="default" w:ascii="Times New Roman" w:hAnsi="Times New Roman" w:eastAsia="楷体" w:cs="Times New Roman"/>
          <w:sz w:val="24"/>
          <w:lang w:val="en-US" w:eastAsia="zh-CN"/>
        </w:rPr>
        <w:t>96. doi: 10.1007/s11629–012–2049–7.</w:t>
      </w:r>
    </w:p>
    <w:p w14:paraId="6E6A8E4F">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[79]</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Bush R. Politics, power and poverty: Twenty years of agricultural reform and market liberalisation in Egypt. Third World Q. 2007; 28(8): 1599–1615. doi: 10.1080/01436590701637417.</w:t>
      </w:r>
    </w:p>
    <w:p w14:paraId="6165B8BA">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[80]</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Yilmaz O, Ertugrul M, Wilson RT. Domestic livestock resources of Turkey. Tropical Animal Health and Production. 2012; 44(4): 707–</w:t>
      </w:r>
      <w:r>
        <w:rPr>
          <w:rFonts w:hint="eastAsia" w:eastAsia="楷体" w:cs="Times New Roman"/>
          <w:sz w:val="24"/>
          <w:lang w:val="en-US" w:eastAsia="zh-CN"/>
        </w:rPr>
        <w:t>7</w:t>
      </w:r>
      <w:r>
        <w:rPr>
          <w:rFonts w:hint="default" w:ascii="Times New Roman" w:hAnsi="Times New Roman" w:eastAsia="楷体" w:cs="Times New Roman"/>
          <w:sz w:val="24"/>
          <w:lang w:val="en-US" w:eastAsia="zh-CN"/>
        </w:rPr>
        <w:t>14. doi: 10.1007/s11250–011–9957–3.</w:t>
      </w:r>
    </w:p>
    <w:p w14:paraId="341D4B1A">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[81]</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Gibon A. Managing grassland for production, the environment and the landscape. Challenges at the farm and the landscape level. Livestock Production Science. 2005; 96(1): 11–31. doi: 10.1016/j.livprodsci.2005.05.009.</w:t>
      </w:r>
    </w:p>
    <w:p w14:paraId="06930657">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[82]</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Tudisca S, Sgroi F, Testa R. Competitiveness and sustainability of extreme viticulture in Pantelleria Island. New Medit. 2011; 10(4): 57–64.</w:t>
      </w:r>
    </w:p>
    <w:p w14:paraId="2941B58E">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[83]</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Chen J. A century of discourse on Chinese agricultural heritage: Pathways and local constructions. Chin</w:t>
      </w:r>
      <w:r>
        <w:rPr>
          <w:rFonts w:hint="eastAsia" w:eastAsia="楷体" w:cs="Times New Roman"/>
          <w:sz w:val="24"/>
          <w:lang w:val="en-US" w:eastAsia="zh-CN"/>
        </w:rPr>
        <w:t>a</w:t>
      </w:r>
      <w:r>
        <w:rPr>
          <w:rFonts w:hint="default" w:ascii="Times New Roman" w:hAnsi="Times New Roman" w:eastAsia="楷体" w:cs="Times New Roman"/>
          <w:sz w:val="24"/>
          <w:lang w:val="en-US" w:eastAsia="zh-CN"/>
        </w:rPr>
        <w:t xml:space="preserve"> Agriculture Hist</w:t>
      </w:r>
      <w:r>
        <w:rPr>
          <w:rFonts w:hint="eastAsia" w:eastAsia="楷体" w:cs="Times New Roman"/>
          <w:sz w:val="24"/>
          <w:lang w:val="en-US" w:eastAsia="zh-CN"/>
        </w:rPr>
        <w:t>ory</w:t>
      </w:r>
      <w:r>
        <w:rPr>
          <w:rFonts w:hint="default" w:ascii="Times New Roman" w:hAnsi="Times New Roman" w:eastAsia="楷体" w:cs="Times New Roman"/>
          <w:sz w:val="24"/>
          <w:lang w:val="en-US" w:eastAsia="zh-CN"/>
        </w:rPr>
        <w:t>. 2023; 42(3): 127–</w:t>
      </w:r>
      <w:r>
        <w:rPr>
          <w:rFonts w:hint="eastAsia" w:eastAsia="楷体" w:cs="Times New Roman"/>
          <w:sz w:val="24"/>
          <w:lang w:val="en-US" w:eastAsia="zh-CN"/>
        </w:rPr>
        <w:t>1</w:t>
      </w:r>
      <w:r>
        <w:rPr>
          <w:rFonts w:hint="default" w:ascii="Times New Roman" w:hAnsi="Times New Roman" w:eastAsia="楷体" w:cs="Times New Roman"/>
          <w:sz w:val="24"/>
          <w:lang w:val="en-US" w:eastAsia="zh-CN"/>
        </w:rPr>
        <w:t>38.</w:t>
      </w:r>
    </w:p>
    <w:p w14:paraId="6926E479">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[84]</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Wang S, Min Q. Agricultural Heritage Systems and Agriculture, Peasants, Countryside. China Environment Sciences Press; 2009.</w:t>
      </w:r>
    </w:p>
    <w:p w14:paraId="2FEDD20D">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[85]</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Li J, Jiao W, Min Q. Promoting food system transformation by protecting agricultural heritage: A review of the 7th East Asia Agricultural Heritage Conference. World Agricultural. 2023;</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9:</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137–</w:t>
      </w:r>
      <w:r>
        <w:rPr>
          <w:rFonts w:hint="eastAsia" w:eastAsia="楷体" w:cs="Times New Roman"/>
          <w:sz w:val="24"/>
          <w:lang w:val="en-US" w:eastAsia="zh-CN"/>
        </w:rPr>
        <w:t>1</w:t>
      </w:r>
      <w:r>
        <w:rPr>
          <w:rFonts w:hint="default" w:ascii="Times New Roman" w:hAnsi="Times New Roman" w:eastAsia="楷体" w:cs="Times New Roman"/>
          <w:sz w:val="24"/>
          <w:lang w:val="en-US" w:eastAsia="zh-CN"/>
        </w:rPr>
        <w:t>40.</w:t>
      </w:r>
    </w:p>
    <w:p w14:paraId="79EA4EA8">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[86]</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 xml:space="preserve">Lu X, Li Z, Zhu X, Li D, Wei J. The Role of Alexithymia and Moral Disengagement in Childhood Physical Abuse and Depressive Symptoms: A Comparative Study Among Rural and Urban Chinese College Students. </w:t>
      </w:r>
      <w:r>
        <w:rPr>
          <w:rFonts w:hint="eastAsia" w:eastAsia="楷体" w:cs="Times New Roman"/>
          <w:sz w:val="24"/>
          <w:lang w:val="en-US" w:eastAsia="zh-CN"/>
        </w:rPr>
        <w:t>Psychology Research and Behavior Management</w:t>
      </w:r>
      <w:r>
        <w:rPr>
          <w:rFonts w:hint="default" w:ascii="Times New Roman" w:hAnsi="Times New Roman" w:eastAsia="楷体" w:cs="Times New Roman"/>
          <w:sz w:val="24"/>
          <w:lang w:val="en-US" w:eastAsia="zh-CN"/>
        </w:rPr>
        <w:t>. 2024; 17: 3197–</w:t>
      </w:r>
      <w:r>
        <w:rPr>
          <w:rFonts w:hint="eastAsia" w:eastAsia="楷体" w:cs="Times New Roman"/>
          <w:sz w:val="24"/>
          <w:lang w:val="en-US" w:eastAsia="zh-CN"/>
        </w:rPr>
        <w:t>3</w:t>
      </w:r>
      <w:r>
        <w:rPr>
          <w:rFonts w:hint="default" w:ascii="Times New Roman" w:hAnsi="Times New Roman" w:eastAsia="楷体" w:cs="Times New Roman"/>
          <w:sz w:val="24"/>
          <w:lang w:val="en-US" w:eastAsia="zh-CN"/>
        </w:rPr>
        <w:t>210.</w:t>
      </w:r>
    </w:p>
    <w:p w14:paraId="7F67D709">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[87]</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Cintya Elizabeth Manrique Anticona, José Luis Yagüe Blanco, Isabel Cristina Pascual Castaño. Characterization of potential Spanish territories for creating a national network associated with the Globally Important Agricultural Heritage Systems. Land Use Policy. 2023; 131: 106667. doi: 10.1016/j.landusepol.2023.106667.</w:t>
      </w:r>
    </w:p>
    <w:p w14:paraId="507A6743">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[88]</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Thorburn PJ, Wilkinson SN, Silburn DM. Water quality in agricultural lands draining to the Great Barrier Reef: Causes, management and priorities. Agriculture, Ecosystems &amp; Environment. 2013; 180: 4–20. doi: 10.1016/j.agee.2012.07.006.</w:t>
      </w:r>
    </w:p>
    <w:p w14:paraId="77265856">
      <w:pPr>
        <w:tabs>
          <w:tab w:val="left" w:pos="1974"/>
        </w:tabs>
        <w:adjustRightInd w:val="0"/>
        <w:spacing w:before="120" w:after="240"/>
        <w:jc w:val="both"/>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[89]</w:t>
      </w:r>
      <w:r>
        <w:rPr>
          <w:rFonts w:hint="eastAsia" w:eastAsia="楷体" w:cs="Times New Roman"/>
          <w:sz w:val="24"/>
          <w:lang w:val="en-US" w:eastAsia="zh-CN"/>
        </w:rPr>
        <w:t xml:space="preserve"> </w:t>
      </w:r>
      <w:r>
        <w:rPr>
          <w:rFonts w:hint="default" w:ascii="Times New Roman" w:hAnsi="Times New Roman" w:eastAsia="楷体" w:cs="Times New Roman"/>
          <w:sz w:val="24"/>
          <w:lang w:val="en-US" w:eastAsia="zh-CN"/>
        </w:rPr>
        <w:t>Winkler KJ, Viers JH, Nicholas KA. Assessing ecosystem services and multifunctionality for vineyard systems. Frontiers in Environmental Science. 2017; 5: 3155. doi: 10.3389/fenvs.2017.00015.</w:t>
      </w:r>
    </w:p>
    <w:p w14:paraId="20B24D2A">
      <w:pPr>
        <w:tabs>
          <w:tab w:val="left" w:pos="1974"/>
        </w:tabs>
        <w:adjustRightInd w:val="0"/>
        <w:spacing w:before="120" w:after="240"/>
        <w:jc w:val="both"/>
        <w:rPr>
          <w:rFonts w:hint="default" w:ascii="Times New Roman" w:hAnsi="Times New Roman" w:eastAsia="楷体" w:cs="Times New Roman"/>
          <w:sz w:val="24"/>
          <w:lang w:val="en-US" w:eastAsia="zh-CN"/>
        </w:rPr>
      </w:pPr>
    </w:p>
    <w:p w14:paraId="57986B5E">
      <w:pPr>
        <w:tabs>
          <w:tab w:val="left" w:pos="1974"/>
        </w:tabs>
        <w:adjustRightInd w:val="0"/>
        <w:spacing w:before="120" w:after="240"/>
        <w:jc w:val="both"/>
        <w:rPr>
          <w:rFonts w:hint="default" w:ascii="Times New Roman" w:hAnsi="Times New Roman" w:eastAsia="楷体" w:cs="Times New Roman"/>
          <w:sz w:val="24"/>
          <w:lang w:val="en-US" w:eastAsia="zh-CN"/>
        </w:rPr>
      </w:pPr>
    </w:p>
    <w:p w14:paraId="1728608B">
      <w:pPr>
        <w:jc w:val="both"/>
        <w:rPr>
          <w:rFonts w:hint="eastAsia" w:ascii="Times New Roman" w:hAnsi="Times New Roman" w:eastAsia="宋体" w:cs="Times New Roman"/>
          <w:rtl w:val="0"/>
          <w:lang w:eastAsia="zh-CN"/>
        </w:rPr>
      </w:pPr>
      <w:r>
        <w:rPr>
          <w:rFonts w:hint="eastAsia" w:ascii="Times New Roman" w:hAnsi="Times New Roman" w:eastAsia="宋体" w:cs="Times New Roman"/>
          <w:rtl w:val="0"/>
          <w:lang w:eastAsia="zh-CN"/>
        </w:rPr>
        <w:drawing>
          <wp:inline distT="0" distB="0" distL="114300" distR="114300">
            <wp:extent cx="838200" cy="295275"/>
            <wp:effectExtent l="0" t="0" r="0" b="9525"/>
            <wp:docPr id="7" name="图片 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8x31"/>
                    <pic:cNvPicPr>
                      <a:picLocks noChangeAspect="1"/>
                    </pic:cNvPicPr>
                  </pic:nvPicPr>
                  <pic:blipFill>
                    <a:blip r:embed="rId17"/>
                    <a:stretch>
                      <a:fillRect/>
                    </a:stretch>
                  </pic:blipFill>
                  <pic:spPr>
                    <a:xfrm>
                      <a:off x="0" y="0"/>
                      <a:ext cx="838200" cy="295275"/>
                    </a:xfrm>
                    <a:prstGeom prst="rect">
                      <a:avLst/>
                    </a:prstGeom>
                  </pic:spPr>
                </pic:pic>
              </a:graphicData>
            </a:graphic>
          </wp:inline>
        </w:drawing>
      </w:r>
    </w:p>
    <w:p w14:paraId="3FE68288">
      <w:pPr>
        <w:jc w:val="both"/>
        <w:rPr>
          <w:rFonts w:hint="default" w:ascii="Times New Roman" w:hAnsi="Times New Roman" w:eastAsia="宋体" w:cs="Times New Roman"/>
          <w:rtl w:val="0"/>
        </w:rPr>
      </w:pPr>
      <w:r>
        <w:rPr>
          <w:rFonts w:hint="default" w:ascii="Times New Roman" w:hAnsi="Times New Roman" w:eastAsia="宋体" w:cs="Times New Roman"/>
          <w:rtl w:val="0"/>
        </w:rPr>
        <w:t>Copyright</w:t>
      </w:r>
      <w:r>
        <w:rPr>
          <w:rFonts w:hint="eastAsia" w:cs="Times New Roman"/>
          <w:rtl w:val="0"/>
          <w:lang w:val="en-US" w:eastAsia="zh-CN"/>
        </w:rPr>
        <w:t xml:space="preserve"> </w:t>
      </w:r>
      <w:r>
        <w:rPr>
          <w:rFonts w:hint="default" w:ascii="Times New Roman" w:hAnsi="Times New Roman" w:eastAsia="宋体" w:cs="Times New Roman"/>
          <w:rtl w:val="0"/>
        </w:rPr>
        <w:t xml:space="preserve">©2025 The Author(s) </w:t>
      </w:r>
    </w:p>
    <w:p w14:paraId="4EB951B0">
      <w:pPr>
        <w:jc w:val="both"/>
        <w:rPr>
          <w:rFonts w:hint="default" w:ascii="Times New Roman" w:hAnsi="Times New Roman" w:eastAsia="宋体" w:cs="Times New Roman"/>
          <w:rtl w:val="0"/>
        </w:rPr>
      </w:pPr>
      <w:r>
        <w:rPr>
          <w:rFonts w:hint="default" w:ascii="Times New Roman" w:hAnsi="Times New Roman" w:eastAsia="宋体" w:cs="Times New Roman"/>
          <w:b/>
          <w:bCs/>
          <w:rtl w:val="0"/>
        </w:rPr>
        <w:t>Open Access</w:t>
      </w:r>
      <w:r>
        <w:rPr>
          <w:rFonts w:hint="eastAsia" w:cs="Times New Roman"/>
          <w:b/>
          <w:bCs/>
          <w:rtl w:val="0"/>
          <w:lang w:val="en-US" w:eastAsia="zh-CN"/>
        </w:rPr>
        <w:t xml:space="preserve">. </w:t>
      </w:r>
      <w:r>
        <w:rPr>
          <w:rFonts w:hint="default" w:ascii="Times New Roman" w:hAnsi="Times New Roman" w:eastAsia="宋体" w:cs="Times New Roman"/>
          <w:rtl w:val="0"/>
        </w:rPr>
        <w:t>This article is licensed under a Creative Commons Attribution 4.0 International License</w:t>
      </w:r>
      <w:r>
        <w:rPr>
          <w:rFonts w:hint="eastAsia" w:cs="Times New Roman"/>
          <w:rtl w:val="0"/>
          <w:lang w:val="en-US" w:eastAsia="zh-CN"/>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"http://creativecommons.org/licenses/by/4.0/" </w:instrText>
      </w:r>
      <w:r>
        <w:rPr>
          <w:rFonts w:hint="default" w:ascii="Times New Roman" w:hAnsi="Times New Roman" w:eastAsia="宋体" w:cs="Times New Roman"/>
        </w:rPr>
        <w:fldChar w:fldCharType="separate"/>
      </w:r>
      <w:r>
        <w:rPr>
          <w:rStyle w:val="27"/>
          <w:rFonts w:hint="default" w:ascii="Times New Roman" w:hAnsi="Times New Roman" w:eastAsia="宋体" w:cs="Times New Roman"/>
          <w:rtl w:val="0"/>
        </w:rPr>
        <w:t>http://creativecommons.org/licenses/by/4.0/</w:t>
      </w:r>
      <w:r>
        <w:rPr>
          <w:rFonts w:hint="default" w:ascii="Times New Roman" w:hAnsi="Times New Roman" w:eastAsia="宋体" w:cs="Times New Roman"/>
        </w:rPr>
        <w:fldChar w:fldCharType="end"/>
      </w:r>
      <w:r>
        <w:rPr>
          <w:rFonts w:hint="eastAsia" w:cs="Times New Roman"/>
          <w:rtl w:val="0"/>
          <w:lang w:val="en-US" w:eastAsia="zh-CN"/>
        </w:rPr>
        <w:t>)</w:t>
      </w:r>
      <w:r>
        <w:rPr>
          <w:rFonts w:hint="default" w:ascii="Times New Roman" w:hAnsi="Times New Roman" w:eastAsia="宋体" w:cs="Times New Roman"/>
          <w:rtl w:val="0"/>
        </w:rPr>
        <w:t>, which permits use, sharing, adaptation, distribution and reproduction in any medium or format, as long as you give appropriate credit to the original author(s) and the source, provide a link to the Creative Commons licence, and indicate if changes were made.</w:t>
      </w:r>
    </w:p>
    <w:p w14:paraId="2A07C3EA">
      <w:pPr>
        <w:tabs>
          <w:tab w:val="left" w:pos="1974"/>
        </w:tabs>
        <w:adjustRightInd w:val="0"/>
        <w:spacing w:before="120" w:after="240"/>
        <w:jc w:val="both"/>
        <w:rPr>
          <w:rFonts w:hint="default" w:ascii="Times New Roman" w:hAnsi="Times New Roman" w:eastAsia="楷体" w:cs="Times New Roman"/>
          <w:sz w:val="24"/>
          <w:lang w:val="en-US" w:eastAsia="zh-CN"/>
        </w:rPr>
      </w:pPr>
    </w:p>
    <w:sectPr>
      <w:headerReference r:id="rId4" w:type="first"/>
      <w:footerReference r:id="rId7" w:type="first"/>
      <w:footerReference r:id="rId5" w:type="default"/>
      <w:footerReference r:id="rId6" w:type="even"/>
      <w:pgSz w:w="12240" w:h="15840"/>
      <w:pgMar w:top="1138" w:right="1181" w:bottom="1138" w:left="1282" w:header="283" w:footer="510" w:gutter="0"/>
      <w:lnNumType w:countBy="0" w:restart="continuous"/>
      <w:pgNumType w:fmt="decimal"/>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7E03E">
    <w:pPr>
      <w:pStyle w:val="12"/>
      <w:rPr>
        <w:b/>
        <w:sz w:val="20"/>
        <w:szCs w:val="24"/>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33EBE31">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14:paraId="433EBE31">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069A8">
    <w:pPr>
      <w:pStyle w:val="12"/>
      <w:rPr>
        <w:color w:val="C00000"/>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649A374">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14:paraId="0649A374">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EBDEF">
    <w:pPr>
      <w:pStyle w:val="12"/>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6A921D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14:paraId="56A921D7">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2FA5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844"/>
        <w:tab w:val="right" w:pos="9689"/>
      </w:tabs>
      <w:spacing w:before="120" w:after="240" w:line="240" w:lineRule="auto"/>
      <w:ind w:left="0" w:right="0" w:firstLine="0"/>
      <w:jc w:val="right"/>
    </w:pPr>
    <w:r>
      <w:rPr>
        <w:color w:val="A6A6A6" w:themeColor="background1" w:themeShade="A6"/>
        <w:lang w:eastAsia="zh-CN"/>
      </w:rPr>
      <w:drawing>
        <wp:anchor distT="0" distB="0" distL="0" distR="0" simplePos="0" relativeHeight="251661312" behindDoc="1" locked="0" layoutInCell="1" allowOverlap="1">
          <wp:simplePos x="0" y="0"/>
          <wp:positionH relativeFrom="column">
            <wp:posOffset>0</wp:posOffset>
          </wp:positionH>
          <wp:positionV relativeFrom="paragraph">
            <wp:posOffset>76200</wp:posOffset>
          </wp:positionV>
          <wp:extent cx="1534795" cy="360680"/>
          <wp:effectExtent l="0" t="0" r="8255" b="1270"/>
          <wp:wrapNone/>
          <wp:docPr id="6" name="Picture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4795" cy="361154"/>
                  </a:xfrm>
                  <a:prstGeom prst="rect">
                    <a:avLst/>
                  </a:prstGeom>
                  <a:noFill/>
                  <a:ln>
                    <a:noFill/>
                  </a:ln>
                </pic:spPr>
              </pic:pic>
            </a:graphicData>
          </a:graphic>
        </wp:anchor>
      </w:drawing>
    </w:r>
    <w:r>
      <w:tab/>
    </w:r>
    <w:r>
      <w:rPr>
        <w:rFonts w:hint="eastAsia" w:ascii="Times New Roman" w:hAnsi="Times New Roman" w:eastAsia="Times New Roman" w:cs="Times New Roman"/>
        <w:b/>
        <w:i/>
        <w:iCs/>
        <w:smallCaps w:val="0"/>
        <w:strike w:val="0"/>
        <w:color w:val="000000"/>
        <w:sz w:val="24"/>
        <w:szCs w:val="24"/>
        <w:u w:val="none"/>
        <w:shd w:val="clear" w:fill="auto"/>
        <w:vertAlign w:val="baseline"/>
        <w:rtl w:val="0"/>
      </w:rPr>
      <w:t>Journal of Cultural Inquiry and Creative Arts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388B4A"/>
    <w:multiLevelType w:val="multilevel"/>
    <w:tmpl w:val="9B388B4A"/>
    <w:lvl w:ilvl="0" w:tentative="0">
      <w:start w:val="1"/>
      <w:numFmt w:val="decimal"/>
      <w:suff w:val="space"/>
      <w:lvlText w:val="3.1.%1"/>
      <w:lvlJc w:val="left"/>
      <w:pPr>
        <w:ind w:left="361" w:leftChars="0" w:hanging="361" w:firstLineChars="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EC0601A"/>
    <w:multiLevelType w:val="multilevel"/>
    <w:tmpl w:val="1EC0601A"/>
    <w:lvl w:ilvl="0" w:tentative="0">
      <w:start w:val="1"/>
      <w:numFmt w:val="decimal"/>
      <w:lvlText w:val="%1"/>
      <w:lvlJc w:val="left"/>
      <w:pPr>
        <w:tabs>
          <w:tab w:val="left" w:pos="567"/>
        </w:tabs>
        <w:ind w:left="567" w:hanging="567"/>
      </w:pPr>
      <w:rPr>
        <w:rFonts w:hint="default"/>
      </w:rPr>
    </w:lvl>
    <w:lvl w:ilvl="1" w:tentative="0">
      <w:start w:val="1"/>
      <w:numFmt w:val="decimal"/>
      <w:lvlText w:val="%1.%2"/>
      <w:lvlJc w:val="left"/>
      <w:pPr>
        <w:tabs>
          <w:tab w:val="left" w:pos="567"/>
        </w:tabs>
        <w:ind w:left="567" w:hanging="567"/>
      </w:pPr>
      <w:rPr>
        <w:rFonts w:hint="default"/>
      </w:rPr>
    </w:lvl>
    <w:lvl w:ilvl="2" w:tentative="0">
      <w:start w:val="1"/>
      <w:numFmt w:val="decimal"/>
      <w:lvlText w:val="%1.%2.%3"/>
      <w:lvlJc w:val="left"/>
      <w:pPr>
        <w:tabs>
          <w:tab w:val="left" w:pos="567"/>
        </w:tabs>
        <w:ind w:left="567" w:hanging="567"/>
      </w:pPr>
      <w:rPr>
        <w:rFonts w:hint="default"/>
      </w:rPr>
    </w:lvl>
    <w:lvl w:ilvl="3" w:tentative="0">
      <w:start w:val="1"/>
      <w:numFmt w:val="decimal"/>
      <w:lvlText w:val="%1.%2.%3.%4"/>
      <w:lvlJc w:val="left"/>
      <w:pPr>
        <w:tabs>
          <w:tab w:val="left" w:pos="567"/>
        </w:tabs>
        <w:ind w:left="567" w:hanging="567"/>
      </w:pPr>
      <w:rPr>
        <w:rFonts w:hint="default"/>
      </w:rPr>
    </w:lvl>
    <w:lvl w:ilvl="4" w:tentative="0">
      <w:start w:val="1"/>
      <w:numFmt w:val="decimal"/>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2">
    <w:nsid w:val="225305B5"/>
    <w:multiLevelType w:val="multilevel"/>
    <w:tmpl w:val="225305B5"/>
    <w:lvl w:ilvl="0" w:tentative="0">
      <w:start w:val="1"/>
      <w:numFmt w:val="bullet"/>
      <w:pStyle w:val="30"/>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
    <w:nsid w:val="66F52AA1"/>
    <w:multiLevelType w:val="multilevel"/>
    <w:tmpl w:val="66F52AA1"/>
    <w:lvl w:ilvl="0" w:tentative="0">
      <w:start w:val="1"/>
      <w:numFmt w:val="decimal"/>
      <w:suff w:val="space"/>
      <w:lvlText w:val="%1"/>
      <w:lvlJc w:val="left"/>
      <w:pPr>
        <w:ind w:left="567" w:hanging="567"/>
      </w:pPr>
      <w:rPr>
        <w:rFonts w:hint="default"/>
      </w:rPr>
    </w:lvl>
    <w:lvl w:ilvl="1" w:tentative="0">
      <w:start w:val="1"/>
      <w:numFmt w:val="decimal"/>
      <w:suff w:val="space"/>
      <w:lvlText w:val="%1.%2"/>
      <w:lvlJc w:val="left"/>
      <w:pPr>
        <w:ind w:left="283" w:leftChars="0" w:hanging="283" w:firstLineChars="0"/>
      </w:pPr>
      <w:rPr>
        <w:rFonts w:hint="default"/>
      </w:rPr>
    </w:lvl>
    <w:lvl w:ilvl="2" w:tentative="0">
      <w:start w:val="1"/>
      <w:numFmt w:val="decimal"/>
      <w:pStyle w:val="4"/>
      <w:lvlText w:val="%1.%2.%3"/>
      <w:lvlJc w:val="left"/>
      <w:pPr>
        <w:tabs>
          <w:tab w:val="left" w:pos="567"/>
        </w:tabs>
        <w:ind w:left="567" w:hanging="567"/>
      </w:pPr>
      <w:rPr>
        <w:rFonts w:hint="default"/>
      </w:rPr>
    </w:lvl>
    <w:lvl w:ilvl="3" w:tentative="0">
      <w:start w:val="1"/>
      <w:numFmt w:val="decimal"/>
      <w:pStyle w:val="5"/>
      <w:lvlText w:val="%1.%2.%3.%4"/>
      <w:lvlJc w:val="left"/>
      <w:pPr>
        <w:tabs>
          <w:tab w:val="left" w:pos="567"/>
        </w:tabs>
        <w:ind w:left="567" w:hanging="567"/>
      </w:pPr>
      <w:rPr>
        <w:rFonts w:hint="default"/>
      </w:rPr>
    </w:lvl>
    <w:lvl w:ilvl="4" w:tentative="0">
      <w:start w:val="1"/>
      <w:numFmt w:val="decimal"/>
      <w:pStyle w:val="6"/>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num w:numId="1">
    <w:abstractNumId w:val="1"/>
    <w:lvlOverride w:ilvl="0">
      <w:lvl w:ilvl="0" w:tentative="1">
        <w:start w:val="1"/>
        <w:numFmt w:val="decimal"/>
        <w:pStyle w:val="2"/>
        <w:lvlText w:val="%1"/>
        <w:lvlJc w:val="left"/>
        <w:pPr>
          <w:tabs>
            <w:tab w:val="left" w:pos="567"/>
          </w:tabs>
          <w:ind w:left="567" w:hanging="567"/>
        </w:pPr>
        <w:rPr>
          <w:rFonts w:hint="default"/>
        </w:rPr>
      </w:lvl>
    </w:lvlOverride>
    <w:lvlOverride w:ilvl="1">
      <w:lvl w:ilvl="1" w:tentative="1">
        <w:start w:val="1"/>
        <w:numFmt w:val="decimal"/>
        <w:pStyle w:val="3"/>
        <w:lvlText w:val="%1.%2"/>
        <w:lvlJc w:val="left"/>
        <w:pPr>
          <w:tabs>
            <w:tab w:val="left" w:pos="567"/>
          </w:tabs>
          <w:ind w:left="567" w:hanging="567"/>
        </w:pPr>
        <w:rPr>
          <w:rFonts w:hint="default"/>
        </w:rPr>
      </w:lvl>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attachedTemplate r:id="rId1"/>
  <w:documentProtection w:enforcement="0"/>
  <w:defaultTabStop w:val="720"/>
  <w:evenAndOddHeaders w:val="1"/>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4NmExMzY0MzFmNTNhYTRmZjgzYWRjMmJmMmQ4ZDgifQ=="/>
  </w:docVars>
  <w:rsids>
    <w:rsidRoot w:val="00D40420"/>
    <w:rsid w:val="000001BE"/>
    <w:rsid w:val="000003DE"/>
    <w:rsid w:val="00015D7B"/>
    <w:rsid w:val="0002273A"/>
    <w:rsid w:val="00034304"/>
    <w:rsid w:val="00035434"/>
    <w:rsid w:val="00045678"/>
    <w:rsid w:val="000458E4"/>
    <w:rsid w:val="00046B8A"/>
    <w:rsid w:val="00063D84"/>
    <w:rsid w:val="0006636D"/>
    <w:rsid w:val="00077D53"/>
    <w:rsid w:val="00081394"/>
    <w:rsid w:val="000B34BD"/>
    <w:rsid w:val="000C7E2A"/>
    <w:rsid w:val="000F4CFB"/>
    <w:rsid w:val="00117666"/>
    <w:rsid w:val="001223A7"/>
    <w:rsid w:val="00134256"/>
    <w:rsid w:val="0014400F"/>
    <w:rsid w:val="00147395"/>
    <w:rsid w:val="00152161"/>
    <w:rsid w:val="001552C9"/>
    <w:rsid w:val="00177D84"/>
    <w:rsid w:val="001964EF"/>
    <w:rsid w:val="001A5072"/>
    <w:rsid w:val="001B1A2C"/>
    <w:rsid w:val="001D5C23"/>
    <w:rsid w:val="001E4F08"/>
    <w:rsid w:val="001F4C07"/>
    <w:rsid w:val="00206322"/>
    <w:rsid w:val="00217BA1"/>
    <w:rsid w:val="00220AEA"/>
    <w:rsid w:val="00226954"/>
    <w:rsid w:val="002368CB"/>
    <w:rsid w:val="0025009C"/>
    <w:rsid w:val="002629A3"/>
    <w:rsid w:val="00265660"/>
    <w:rsid w:val="002677A0"/>
    <w:rsid w:val="00267D18"/>
    <w:rsid w:val="002868E2"/>
    <w:rsid w:val="002869C3"/>
    <w:rsid w:val="002936E4"/>
    <w:rsid w:val="00296B88"/>
    <w:rsid w:val="002A260D"/>
    <w:rsid w:val="002C1CD3"/>
    <w:rsid w:val="002C74CA"/>
    <w:rsid w:val="002F744D"/>
    <w:rsid w:val="00303DE6"/>
    <w:rsid w:val="00310124"/>
    <w:rsid w:val="00322306"/>
    <w:rsid w:val="00324982"/>
    <w:rsid w:val="00333055"/>
    <w:rsid w:val="003544FB"/>
    <w:rsid w:val="00356437"/>
    <w:rsid w:val="00365D63"/>
    <w:rsid w:val="0036793B"/>
    <w:rsid w:val="00372682"/>
    <w:rsid w:val="00376CC5"/>
    <w:rsid w:val="00392827"/>
    <w:rsid w:val="0039693B"/>
    <w:rsid w:val="003B3C40"/>
    <w:rsid w:val="003D2F2D"/>
    <w:rsid w:val="003E4960"/>
    <w:rsid w:val="00401590"/>
    <w:rsid w:val="00435C52"/>
    <w:rsid w:val="00446E4C"/>
    <w:rsid w:val="00463E3D"/>
    <w:rsid w:val="004645AE"/>
    <w:rsid w:val="004D3E33"/>
    <w:rsid w:val="00510770"/>
    <w:rsid w:val="0052252B"/>
    <w:rsid w:val="005250F2"/>
    <w:rsid w:val="00565FB2"/>
    <w:rsid w:val="005A1D84"/>
    <w:rsid w:val="005A70EA"/>
    <w:rsid w:val="005C3963"/>
    <w:rsid w:val="005D1840"/>
    <w:rsid w:val="005D35E4"/>
    <w:rsid w:val="005D7910"/>
    <w:rsid w:val="00614C68"/>
    <w:rsid w:val="0062154F"/>
    <w:rsid w:val="00626026"/>
    <w:rsid w:val="00631A8C"/>
    <w:rsid w:val="006422AE"/>
    <w:rsid w:val="00651CA2"/>
    <w:rsid w:val="00653D60"/>
    <w:rsid w:val="00660D05"/>
    <w:rsid w:val="00671D9A"/>
    <w:rsid w:val="00673952"/>
    <w:rsid w:val="00686C9D"/>
    <w:rsid w:val="006B2D5B"/>
    <w:rsid w:val="006B7D14"/>
    <w:rsid w:val="006C186D"/>
    <w:rsid w:val="006C78BA"/>
    <w:rsid w:val="006D5B93"/>
    <w:rsid w:val="006E18DE"/>
    <w:rsid w:val="006E54C5"/>
    <w:rsid w:val="0072055B"/>
    <w:rsid w:val="00725A7D"/>
    <w:rsid w:val="00727093"/>
    <w:rsid w:val="0073085C"/>
    <w:rsid w:val="00746505"/>
    <w:rsid w:val="00752FD1"/>
    <w:rsid w:val="00790BB3"/>
    <w:rsid w:val="00792043"/>
    <w:rsid w:val="00797EDD"/>
    <w:rsid w:val="007B0322"/>
    <w:rsid w:val="007C0E3F"/>
    <w:rsid w:val="007C206C"/>
    <w:rsid w:val="007C5729"/>
    <w:rsid w:val="008111E4"/>
    <w:rsid w:val="0081301C"/>
    <w:rsid w:val="00817DD6"/>
    <w:rsid w:val="008622C9"/>
    <w:rsid w:val="008629A9"/>
    <w:rsid w:val="0088513A"/>
    <w:rsid w:val="00893C19"/>
    <w:rsid w:val="00895308"/>
    <w:rsid w:val="00897772"/>
    <w:rsid w:val="008A0240"/>
    <w:rsid w:val="008D6C8D"/>
    <w:rsid w:val="008E2B54"/>
    <w:rsid w:val="008E4404"/>
    <w:rsid w:val="008E58C7"/>
    <w:rsid w:val="008F5021"/>
    <w:rsid w:val="00925A72"/>
    <w:rsid w:val="00931669"/>
    <w:rsid w:val="00943573"/>
    <w:rsid w:val="00947829"/>
    <w:rsid w:val="00971B61"/>
    <w:rsid w:val="00980C31"/>
    <w:rsid w:val="009955FF"/>
    <w:rsid w:val="009A1CEE"/>
    <w:rsid w:val="009D259D"/>
    <w:rsid w:val="009E0673"/>
    <w:rsid w:val="009E70F5"/>
    <w:rsid w:val="00A00487"/>
    <w:rsid w:val="00A27204"/>
    <w:rsid w:val="00A353B4"/>
    <w:rsid w:val="00A50D9D"/>
    <w:rsid w:val="00A53000"/>
    <w:rsid w:val="00A545C6"/>
    <w:rsid w:val="00A75F87"/>
    <w:rsid w:val="00A95D8B"/>
    <w:rsid w:val="00AC0270"/>
    <w:rsid w:val="00AC3EA3"/>
    <w:rsid w:val="00AC792D"/>
    <w:rsid w:val="00AE5B6F"/>
    <w:rsid w:val="00B04240"/>
    <w:rsid w:val="00B657B8"/>
    <w:rsid w:val="00B76409"/>
    <w:rsid w:val="00B84920"/>
    <w:rsid w:val="00B8556A"/>
    <w:rsid w:val="00BB1F4C"/>
    <w:rsid w:val="00BB41CE"/>
    <w:rsid w:val="00BB6949"/>
    <w:rsid w:val="00C012A3"/>
    <w:rsid w:val="00C04B6B"/>
    <w:rsid w:val="00C16F19"/>
    <w:rsid w:val="00C30EB1"/>
    <w:rsid w:val="00C42AA0"/>
    <w:rsid w:val="00C52A7B"/>
    <w:rsid w:val="00C53A9B"/>
    <w:rsid w:val="00C6324C"/>
    <w:rsid w:val="00C679AA"/>
    <w:rsid w:val="00C70EAF"/>
    <w:rsid w:val="00C724CF"/>
    <w:rsid w:val="00C75972"/>
    <w:rsid w:val="00C82792"/>
    <w:rsid w:val="00C948FD"/>
    <w:rsid w:val="00CB1019"/>
    <w:rsid w:val="00CB2220"/>
    <w:rsid w:val="00CB43D5"/>
    <w:rsid w:val="00CC76F9"/>
    <w:rsid w:val="00CD066B"/>
    <w:rsid w:val="00CD3ECE"/>
    <w:rsid w:val="00CD46E2"/>
    <w:rsid w:val="00D00D0B"/>
    <w:rsid w:val="00D04B69"/>
    <w:rsid w:val="00D17FBC"/>
    <w:rsid w:val="00D2469A"/>
    <w:rsid w:val="00D40420"/>
    <w:rsid w:val="00D537FA"/>
    <w:rsid w:val="00D80D99"/>
    <w:rsid w:val="00D85969"/>
    <w:rsid w:val="00D87AEE"/>
    <w:rsid w:val="00D93D32"/>
    <w:rsid w:val="00D9503C"/>
    <w:rsid w:val="00D97F85"/>
    <w:rsid w:val="00DD73EF"/>
    <w:rsid w:val="00DE23E8"/>
    <w:rsid w:val="00DF187F"/>
    <w:rsid w:val="00E006EC"/>
    <w:rsid w:val="00E0128B"/>
    <w:rsid w:val="00E11C78"/>
    <w:rsid w:val="00E501B5"/>
    <w:rsid w:val="00E64E17"/>
    <w:rsid w:val="00E852EA"/>
    <w:rsid w:val="00E86859"/>
    <w:rsid w:val="00E97680"/>
    <w:rsid w:val="00EA3D3C"/>
    <w:rsid w:val="00EC7CC3"/>
    <w:rsid w:val="00F254A4"/>
    <w:rsid w:val="00F46494"/>
    <w:rsid w:val="00F558AB"/>
    <w:rsid w:val="00F61D89"/>
    <w:rsid w:val="00F702EE"/>
    <w:rsid w:val="00F86ABB"/>
    <w:rsid w:val="00F97039"/>
    <w:rsid w:val="00FA3D10"/>
    <w:rsid w:val="00FD7648"/>
    <w:rsid w:val="00FE2770"/>
    <w:rsid w:val="00FE3B69"/>
    <w:rsid w:val="01FF0067"/>
    <w:rsid w:val="02DE3DCE"/>
    <w:rsid w:val="036F2FCB"/>
    <w:rsid w:val="03B25379"/>
    <w:rsid w:val="063858F6"/>
    <w:rsid w:val="07F33544"/>
    <w:rsid w:val="0F36630C"/>
    <w:rsid w:val="0F786E19"/>
    <w:rsid w:val="0F8C0A60"/>
    <w:rsid w:val="122356AC"/>
    <w:rsid w:val="138F017C"/>
    <w:rsid w:val="178A42BA"/>
    <w:rsid w:val="1D2A3ACC"/>
    <w:rsid w:val="1D4330A6"/>
    <w:rsid w:val="1D837D8D"/>
    <w:rsid w:val="1E3B10A6"/>
    <w:rsid w:val="26263A75"/>
    <w:rsid w:val="29C6608A"/>
    <w:rsid w:val="2A470C7F"/>
    <w:rsid w:val="2AD74AC9"/>
    <w:rsid w:val="2C29182D"/>
    <w:rsid w:val="2CB86F50"/>
    <w:rsid w:val="2D9D235F"/>
    <w:rsid w:val="2ED74F49"/>
    <w:rsid w:val="2FE81708"/>
    <w:rsid w:val="33143E01"/>
    <w:rsid w:val="33B80A93"/>
    <w:rsid w:val="34FD2B01"/>
    <w:rsid w:val="3A0E2186"/>
    <w:rsid w:val="3BFF2436"/>
    <w:rsid w:val="3E737017"/>
    <w:rsid w:val="3EE6194C"/>
    <w:rsid w:val="3EF913BF"/>
    <w:rsid w:val="3F1B7B3A"/>
    <w:rsid w:val="3F5847F0"/>
    <w:rsid w:val="4013025E"/>
    <w:rsid w:val="40272888"/>
    <w:rsid w:val="4088313F"/>
    <w:rsid w:val="41076FBE"/>
    <w:rsid w:val="463E56F3"/>
    <w:rsid w:val="471F59C6"/>
    <w:rsid w:val="48192E5C"/>
    <w:rsid w:val="48710218"/>
    <w:rsid w:val="4A062BE2"/>
    <w:rsid w:val="4CD06877"/>
    <w:rsid w:val="4D857F0A"/>
    <w:rsid w:val="4DCD4142"/>
    <w:rsid w:val="538A5CD0"/>
    <w:rsid w:val="55752E63"/>
    <w:rsid w:val="560B0A66"/>
    <w:rsid w:val="56F50266"/>
    <w:rsid w:val="58FC58DC"/>
    <w:rsid w:val="59101387"/>
    <w:rsid w:val="5FB9788D"/>
    <w:rsid w:val="6170330B"/>
    <w:rsid w:val="620C6395"/>
    <w:rsid w:val="62F1699C"/>
    <w:rsid w:val="63DC4C88"/>
    <w:rsid w:val="67DB210A"/>
    <w:rsid w:val="6804655B"/>
    <w:rsid w:val="68126ECA"/>
    <w:rsid w:val="68BE7511"/>
    <w:rsid w:val="6B9C7FAF"/>
    <w:rsid w:val="6CD04C5E"/>
    <w:rsid w:val="70D94A29"/>
    <w:rsid w:val="71B06F8F"/>
    <w:rsid w:val="74282FEA"/>
    <w:rsid w:val="79767FBC"/>
    <w:rsid w:val="7A197337"/>
    <w:rsid w:val="7C792107"/>
    <w:rsid w:val="7D951CD7"/>
    <w:rsid w:val="7DAF6EE2"/>
    <w:rsid w:val="7F1D64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nhideWhenUsed="0" w:uiPriority="9" w:name="heading 6"/>
    <w:lsdException w:qFormat="1" w:unhideWhenUsed="0" w:uiPriority="9" w:name="heading 7"/>
    <w:lsdException w:qFormat="1" w:unhideWhenUsed="0" w:uiPriority="9" w:name="heading 8"/>
    <w:lsdException w:qFormat="1" w:unhideWhenUsed="0"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99"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pPr>
    <w:rPr>
      <w:rFonts w:ascii="Times New Roman" w:hAnsi="Times New Roman" w:eastAsiaTheme="minorEastAsia" w:cstheme="minorBidi"/>
      <w:sz w:val="24"/>
      <w:szCs w:val="22"/>
      <w:lang w:val="en-US" w:eastAsia="en-US" w:bidi="ar-SA"/>
    </w:rPr>
  </w:style>
  <w:style w:type="paragraph" w:styleId="2">
    <w:name w:val="heading 1"/>
    <w:basedOn w:val="1"/>
    <w:next w:val="1"/>
    <w:link w:val="31"/>
    <w:qFormat/>
    <w:uiPriority w:val="2"/>
    <w:pPr>
      <w:numPr>
        <w:ilvl w:val="0"/>
        <w:numId w:val="1"/>
      </w:numPr>
      <w:spacing w:before="240"/>
      <w:contextualSpacing w:val="0"/>
      <w:outlineLvl w:val="0"/>
    </w:pPr>
    <w:rPr>
      <w:b/>
    </w:rPr>
  </w:style>
  <w:style w:type="paragraph" w:styleId="3">
    <w:name w:val="heading 2"/>
    <w:basedOn w:val="2"/>
    <w:next w:val="1"/>
    <w:link w:val="32"/>
    <w:qFormat/>
    <w:uiPriority w:val="2"/>
    <w:pPr>
      <w:numPr>
        <w:ilvl w:val="1"/>
      </w:numPr>
      <w:spacing w:after="200"/>
      <w:outlineLvl w:val="1"/>
    </w:pPr>
  </w:style>
  <w:style w:type="paragraph" w:styleId="4">
    <w:name w:val="heading 3"/>
    <w:basedOn w:val="1"/>
    <w:next w:val="1"/>
    <w:link w:val="42"/>
    <w:qFormat/>
    <w:uiPriority w:val="2"/>
    <w:pPr>
      <w:keepNext/>
      <w:keepLines/>
      <w:numPr>
        <w:ilvl w:val="2"/>
        <w:numId w:val="2"/>
      </w:numPr>
      <w:spacing w:before="40" w:after="120"/>
      <w:outlineLvl w:val="2"/>
    </w:pPr>
    <w:rPr>
      <w:rFonts w:eastAsiaTheme="majorEastAsia" w:cstheme="majorBidi"/>
      <w:b/>
      <w:szCs w:val="24"/>
    </w:rPr>
  </w:style>
  <w:style w:type="paragraph" w:styleId="5">
    <w:name w:val="heading 4"/>
    <w:basedOn w:val="4"/>
    <w:next w:val="1"/>
    <w:link w:val="43"/>
    <w:qFormat/>
    <w:uiPriority w:val="2"/>
    <w:pPr>
      <w:numPr>
        <w:ilvl w:val="3"/>
      </w:numPr>
      <w:outlineLvl w:val="3"/>
    </w:pPr>
    <w:rPr>
      <w:iCs/>
    </w:rPr>
  </w:style>
  <w:style w:type="paragraph" w:styleId="6">
    <w:name w:val="heading 5"/>
    <w:basedOn w:val="5"/>
    <w:next w:val="1"/>
    <w:link w:val="44"/>
    <w:qFormat/>
    <w:uiPriority w:val="2"/>
    <w:pPr>
      <w:numPr>
        <w:ilvl w:val="4"/>
      </w:numPr>
      <w:outlineLvl w:val="4"/>
    </w:p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8"/>
    <w:unhideWhenUsed/>
    <w:qFormat/>
    <w:uiPriority w:val="99"/>
    <w:pPr>
      <w:keepNext/>
    </w:pPr>
    <w:rPr>
      <w:rFonts w:cs="Times New Roman"/>
      <w:b/>
      <w:bCs/>
      <w:szCs w:val="24"/>
    </w:rPr>
  </w:style>
  <w:style w:type="paragraph" w:styleId="8">
    <w:name w:val="No Spacing"/>
    <w:unhideWhenUsed/>
    <w:qFormat/>
    <w:uiPriority w:val="99"/>
    <w:rPr>
      <w:rFonts w:ascii="Times New Roman" w:hAnsi="Times New Roman" w:eastAsiaTheme="minorEastAsia" w:cstheme="minorBidi"/>
      <w:sz w:val="24"/>
      <w:szCs w:val="22"/>
      <w:lang w:val="en-US" w:eastAsia="en-US" w:bidi="ar-SA"/>
    </w:rPr>
  </w:style>
  <w:style w:type="paragraph" w:styleId="9">
    <w:name w:val="annotation text"/>
    <w:basedOn w:val="1"/>
    <w:link w:val="38"/>
    <w:semiHidden/>
    <w:unhideWhenUsed/>
    <w:qFormat/>
    <w:uiPriority w:val="99"/>
    <w:rPr>
      <w:sz w:val="20"/>
      <w:szCs w:val="20"/>
    </w:rPr>
  </w:style>
  <w:style w:type="paragraph" w:styleId="10">
    <w:name w:val="endnote text"/>
    <w:basedOn w:val="1"/>
    <w:link w:val="37"/>
    <w:semiHidden/>
    <w:unhideWhenUsed/>
    <w:qFormat/>
    <w:uiPriority w:val="99"/>
    <w:pPr>
      <w:spacing w:after="0"/>
    </w:pPr>
    <w:rPr>
      <w:sz w:val="20"/>
      <w:szCs w:val="20"/>
    </w:rPr>
  </w:style>
  <w:style w:type="paragraph" w:styleId="11">
    <w:name w:val="Balloon Text"/>
    <w:basedOn w:val="1"/>
    <w:link w:val="36"/>
    <w:semiHidden/>
    <w:unhideWhenUsed/>
    <w:qFormat/>
    <w:uiPriority w:val="99"/>
    <w:pPr>
      <w:spacing w:after="0"/>
    </w:pPr>
    <w:rPr>
      <w:rFonts w:ascii="Tahoma" w:hAnsi="Tahoma" w:cs="Tahoma"/>
      <w:sz w:val="16"/>
      <w:szCs w:val="16"/>
    </w:rPr>
  </w:style>
  <w:style w:type="paragraph" w:styleId="12">
    <w:name w:val="footer"/>
    <w:basedOn w:val="1"/>
    <w:link w:val="34"/>
    <w:unhideWhenUsed/>
    <w:qFormat/>
    <w:uiPriority w:val="99"/>
    <w:pPr>
      <w:tabs>
        <w:tab w:val="center" w:pos="4844"/>
        <w:tab w:val="right" w:pos="9689"/>
      </w:tabs>
      <w:spacing w:after="0"/>
    </w:pPr>
  </w:style>
  <w:style w:type="paragraph" w:styleId="13">
    <w:name w:val="header"/>
    <w:basedOn w:val="1"/>
    <w:link w:val="33"/>
    <w:unhideWhenUsed/>
    <w:qFormat/>
    <w:uiPriority w:val="99"/>
    <w:pPr>
      <w:tabs>
        <w:tab w:val="center" w:pos="4844"/>
        <w:tab w:val="right" w:pos="9689"/>
      </w:tabs>
    </w:pPr>
    <w:rPr>
      <w:b/>
    </w:rPr>
  </w:style>
  <w:style w:type="paragraph" w:styleId="14">
    <w:name w:val="Subtitle"/>
    <w:basedOn w:val="1"/>
    <w:next w:val="1"/>
    <w:link w:val="41"/>
    <w:unhideWhenUsed/>
    <w:qFormat/>
    <w:uiPriority w:val="99"/>
    <w:pPr>
      <w:spacing w:before="240"/>
    </w:pPr>
    <w:rPr>
      <w:rFonts w:cs="Times New Roman"/>
      <w:b/>
      <w:szCs w:val="24"/>
    </w:rPr>
  </w:style>
  <w:style w:type="paragraph" w:styleId="15">
    <w:name w:val="footnote text"/>
    <w:basedOn w:val="1"/>
    <w:link w:val="35"/>
    <w:semiHidden/>
    <w:unhideWhenUsed/>
    <w:qFormat/>
    <w:uiPriority w:val="99"/>
    <w:pPr>
      <w:spacing w:after="0"/>
    </w:pPr>
    <w:rPr>
      <w:sz w:val="20"/>
      <w:szCs w:val="20"/>
    </w:rPr>
  </w:style>
  <w:style w:type="paragraph" w:styleId="16">
    <w:name w:val="Normal (Web)"/>
    <w:basedOn w:val="1"/>
    <w:unhideWhenUsed/>
    <w:qFormat/>
    <w:uiPriority w:val="99"/>
    <w:pPr>
      <w:spacing w:before="100" w:beforeAutospacing="1" w:after="100" w:afterAutospacing="1"/>
    </w:pPr>
    <w:rPr>
      <w:rFonts w:eastAsia="Times New Roman" w:cs="Times New Roman"/>
      <w:szCs w:val="24"/>
    </w:rPr>
  </w:style>
  <w:style w:type="paragraph" w:styleId="17">
    <w:name w:val="Title"/>
    <w:basedOn w:val="1"/>
    <w:next w:val="1"/>
    <w:link w:val="40"/>
    <w:qFormat/>
    <w:uiPriority w:val="0"/>
    <w:pPr>
      <w:suppressLineNumbers/>
      <w:spacing w:before="240" w:after="360"/>
      <w:jc w:val="center"/>
    </w:pPr>
    <w:rPr>
      <w:rFonts w:cs="Times New Roman"/>
      <w:b/>
      <w:sz w:val="32"/>
      <w:szCs w:val="32"/>
    </w:rPr>
  </w:style>
  <w:style w:type="paragraph" w:styleId="18">
    <w:name w:val="annotation subject"/>
    <w:basedOn w:val="9"/>
    <w:next w:val="9"/>
    <w:link w:val="39"/>
    <w:semiHidden/>
    <w:unhideWhenUsed/>
    <w:qFormat/>
    <w:uiPriority w:val="99"/>
    <w:rPr>
      <w:b/>
      <w:bCs/>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rFonts w:ascii="Times New Roman" w:hAnsi="Times New Roman"/>
      <w:b/>
      <w:bCs/>
    </w:rPr>
  </w:style>
  <w:style w:type="character" w:styleId="23">
    <w:name w:val="endnote reference"/>
    <w:basedOn w:val="21"/>
    <w:semiHidden/>
    <w:unhideWhenUsed/>
    <w:qFormat/>
    <w:uiPriority w:val="99"/>
    <w:rPr>
      <w:vertAlign w:val="superscript"/>
    </w:rPr>
  </w:style>
  <w:style w:type="character" w:styleId="24">
    <w:name w:val="FollowedHyperlink"/>
    <w:basedOn w:val="21"/>
    <w:semiHidden/>
    <w:unhideWhenUsed/>
    <w:qFormat/>
    <w:uiPriority w:val="99"/>
    <w:rPr>
      <w:color w:val="800080" w:themeColor="followedHyperlink"/>
      <w:u w:val="single"/>
      <w14:textFill>
        <w14:solidFill>
          <w14:schemeClr w14:val="folHlink"/>
        </w14:solidFill>
      </w14:textFill>
    </w:rPr>
  </w:style>
  <w:style w:type="character" w:styleId="25">
    <w:name w:val="Emphasis"/>
    <w:basedOn w:val="21"/>
    <w:qFormat/>
    <w:uiPriority w:val="20"/>
    <w:rPr>
      <w:rFonts w:ascii="Times New Roman" w:hAnsi="Times New Roman"/>
      <w:i/>
      <w:iCs/>
    </w:rPr>
  </w:style>
  <w:style w:type="character" w:styleId="26">
    <w:name w:val="line number"/>
    <w:basedOn w:val="21"/>
    <w:semiHidden/>
    <w:unhideWhenUsed/>
    <w:qFormat/>
    <w:uiPriority w:val="99"/>
  </w:style>
  <w:style w:type="character" w:styleId="27">
    <w:name w:val="Hyperlink"/>
    <w:basedOn w:val="21"/>
    <w:unhideWhenUsed/>
    <w:qFormat/>
    <w:uiPriority w:val="99"/>
    <w:rPr>
      <w:color w:val="0000FF"/>
      <w:u w:val="single"/>
    </w:rPr>
  </w:style>
  <w:style w:type="character" w:styleId="28">
    <w:name w:val="annotation reference"/>
    <w:basedOn w:val="21"/>
    <w:semiHidden/>
    <w:unhideWhenUsed/>
    <w:qFormat/>
    <w:uiPriority w:val="99"/>
    <w:rPr>
      <w:sz w:val="16"/>
      <w:szCs w:val="16"/>
    </w:rPr>
  </w:style>
  <w:style w:type="character" w:styleId="29">
    <w:name w:val="footnote reference"/>
    <w:basedOn w:val="21"/>
    <w:semiHidden/>
    <w:unhideWhenUsed/>
    <w:qFormat/>
    <w:uiPriority w:val="99"/>
    <w:rPr>
      <w:vertAlign w:val="superscript"/>
    </w:rPr>
  </w:style>
  <w:style w:type="paragraph" w:styleId="30">
    <w:name w:val="List Paragraph"/>
    <w:basedOn w:val="1"/>
    <w:qFormat/>
    <w:uiPriority w:val="3"/>
    <w:pPr>
      <w:numPr>
        <w:ilvl w:val="0"/>
        <w:numId w:val="3"/>
      </w:numPr>
      <w:contextualSpacing/>
    </w:pPr>
    <w:rPr>
      <w:rFonts w:eastAsia="Cambria" w:cs="Times New Roman"/>
      <w:szCs w:val="24"/>
    </w:rPr>
  </w:style>
  <w:style w:type="character" w:customStyle="1" w:styleId="31">
    <w:name w:val="标题 1 字符"/>
    <w:basedOn w:val="21"/>
    <w:link w:val="2"/>
    <w:qFormat/>
    <w:uiPriority w:val="2"/>
    <w:rPr>
      <w:rFonts w:ascii="Times New Roman" w:hAnsi="Times New Roman" w:eastAsia="Cambria" w:cs="Times New Roman"/>
      <w:b/>
      <w:sz w:val="24"/>
      <w:szCs w:val="24"/>
    </w:rPr>
  </w:style>
  <w:style w:type="character" w:customStyle="1" w:styleId="32">
    <w:name w:val="标题 2 字符"/>
    <w:basedOn w:val="21"/>
    <w:link w:val="3"/>
    <w:qFormat/>
    <w:uiPriority w:val="2"/>
    <w:rPr>
      <w:rFonts w:ascii="Times New Roman" w:hAnsi="Times New Roman" w:eastAsia="Cambria" w:cs="Times New Roman"/>
      <w:b/>
      <w:sz w:val="24"/>
      <w:szCs w:val="24"/>
    </w:rPr>
  </w:style>
  <w:style w:type="character" w:customStyle="1" w:styleId="33">
    <w:name w:val="页眉 字符"/>
    <w:basedOn w:val="21"/>
    <w:link w:val="13"/>
    <w:qFormat/>
    <w:uiPriority w:val="99"/>
    <w:rPr>
      <w:rFonts w:ascii="Times New Roman" w:hAnsi="Times New Roman"/>
      <w:b/>
      <w:sz w:val="24"/>
    </w:rPr>
  </w:style>
  <w:style w:type="character" w:customStyle="1" w:styleId="34">
    <w:name w:val="页脚 字符"/>
    <w:basedOn w:val="21"/>
    <w:link w:val="12"/>
    <w:qFormat/>
    <w:uiPriority w:val="99"/>
  </w:style>
  <w:style w:type="character" w:customStyle="1" w:styleId="35">
    <w:name w:val="脚注文本 字符"/>
    <w:basedOn w:val="21"/>
    <w:link w:val="15"/>
    <w:semiHidden/>
    <w:qFormat/>
    <w:uiPriority w:val="99"/>
    <w:rPr>
      <w:sz w:val="20"/>
      <w:szCs w:val="20"/>
    </w:rPr>
  </w:style>
  <w:style w:type="character" w:customStyle="1" w:styleId="36">
    <w:name w:val="批注框文本 字符"/>
    <w:basedOn w:val="21"/>
    <w:link w:val="11"/>
    <w:semiHidden/>
    <w:qFormat/>
    <w:uiPriority w:val="99"/>
    <w:rPr>
      <w:rFonts w:ascii="Tahoma" w:hAnsi="Tahoma" w:cs="Tahoma"/>
      <w:sz w:val="16"/>
      <w:szCs w:val="16"/>
    </w:rPr>
  </w:style>
  <w:style w:type="character" w:customStyle="1" w:styleId="37">
    <w:name w:val="尾注文本 字符"/>
    <w:basedOn w:val="21"/>
    <w:link w:val="10"/>
    <w:semiHidden/>
    <w:qFormat/>
    <w:uiPriority w:val="99"/>
    <w:rPr>
      <w:sz w:val="20"/>
      <w:szCs w:val="20"/>
    </w:rPr>
  </w:style>
  <w:style w:type="character" w:customStyle="1" w:styleId="38">
    <w:name w:val="批注文字 字符"/>
    <w:basedOn w:val="21"/>
    <w:link w:val="9"/>
    <w:semiHidden/>
    <w:qFormat/>
    <w:uiPriority w:val="99"/>
    <w:rPr>
      <w:sz w:val="20"/>
      <w:szCs w:val="20"/>
    </w:rPr>
  </w:style>
  <w:style w:type="character" w:customStyle="1" w:styleId="39">
    <w:name w:val="批注主题 字符"/>
    <w:basedOn w:val="38"/>
    <w:link w:val="18"/>
    <w:semiHidden/>
    <w:qFormat/>
    <w:uiPriority w:val="99"/>
    <w:rPr>
      <w:b/>
      <w:bCs/>
      <w:sz w:val="20"/>
      <w:szCs w:val="20"/>
    </w:rPr>
  </w:style>
  <w:style w:type="character" w:customStyle="1" w:styleId="40">
    <w:name w:val="标题 字符"/>
    <w:basedOn w:val="21"/>
    <w:link w:val="17"/>
    <w:qFormat/>
    <w:uiPriority w:val="0"/>
    <w:rPr>
      <w:rFonts w:ascii="Times New Roman" w:hAnsi="Times New Roman" w:cs="Times New Roman"/>
      <w:b/>
      <w:sz w:val="32"/>
      <w:szCs w:val="32"/>
    </w:rPr>
  </w:style>
  <w:style w:type="character" w:customStyle="1" w:styleId="41">
    <w:name w:val="副标题 字符"/>
    <w:basedOn w:val="21"/>
    <w:link w:val="14"/>
    <w:qFormat/>
    <w:uiPriority w:val="99"/>
    <w:rPr>
      <w:rFonts w:ascii="Times New Roman" w:hAnsi="Times New Roman" w:cs="Times New Roman"/>
      <w:b/>
      <w:sz w:val="24"/>
      <w:szCs w:val="24"/>
    </w:rPr>
  </w:style>
  <w:style w:type="character" w:customStyle="1" w:styleId="42">
    <w:name w:val="标题 3 字符"/>
    <w:basedOn w:val="21"/>
    <w:link w:val="4"/>
    <w:qFormat/>
    <w:uiPriority w:val="2"/>
    <w:rPr>
      <w:rFonts w:ascii="Times New Roman" w:hAnsi="Times New Roman" w:eastAsiaTheme="majorEastAsia" w:cstheme="majorBidi"/>
      <w:b/>
      <w:sz w:val="24"/>
      <w:szCs w:val="24"/>
    </w:rPr>
  </w:style>
  <w:style w:type="character" w:customStyle="1" w:styleId="43">
    <w:name w:val="标题 4 字符"/>
    <w:basedOn w:val="21"/>
    <w:link w:val="5"/>
    <w:qFormat/>
    <w:uiPriority w:val="2"/>
    <w:rPr>
      <w:rFonts w:ascii="Times New Roman" w:hAnsi="Times New Roman" w:eastAsiaTheme="majorEastAsia" w:cstheme="majorBidi"/>
      <w:b/>
      <w:iCs/>
      <w:sz w:val="24"/>
      <w:szCs w:val="24"/>
    </w:rPr>
  </w:style>
  <w:style w:type="character" w:customStyle="1" w:styleId="44">
    <w:name w:val="标题 5 字符"/>
    <w:basedOn w:val="21"/>
    <w:link w:val="6"/>
    <w:qFormat/>
    <w:uiPriority w:val="2"/>
    <w:rPr>
      <w:rFonts w:ascii="Times New Roman" w:hAnsi="Times New Roman" w:eastAsiaTheme="majorEastAsia" w:cstheme="majorBidi"/>
      <w:b/>
      <w:iCs/>
      <w:sz w:val="24"/>
      <w:szCs w:val="24"/>
    </w:rPr>
  </w:style>
  <w:style w:type="paragraph" w:customStyle="1" w:styleId="45">
    <w:name w:val="Author List"/>
    <w:basedOn w:val="14"/>
    <w:next w:val="1"/>
    <w:qFormat/>
    <w:uiPriority w:val="1"/>
  </w:style>
  <w:style w:type="character" w:customStyle="1" w:styleId="46">
    <w:name w:val="不明显强调1"/>
    <w:basedOn w:val="21"/>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47">
    <w:name w:val="明显强调1"/>
    <w:basedOn w:val="21"/>
    <w:unhideWhenUsed/>
    <w:qFormat/>
    <w:uiPriority w:val="21"/>
    <w:rPr>
      <w:rFonts w:ascii="Times New Roman" w:hAnsi="Times New Roman"/>
      <w:i/>
      <w:iCs/>
      <w:color w:val="auto"/>
    </w:rPr>
  </w:style>
  <w:style w:type="paragraph" w:styleId="48">
    <w:name w:val="Quote"/>
    <w:basedOn w:val="1"/>
    <w:next w:val="1"/>
    <w:link w:val="49"/>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9">
    <w:name w:val="引用 字符"/>
    <w:basedOn w:val="21"/>
    <w:link w:val="48"/>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0">
    <w:name w:val="明显参考1"/>
    <w:basedOn w:val="21"/>
    <w:qFormat/>
    <w:uiPriority w:val="32"/>
    <w:rPr>
      <w:b/>
      <w:bCs/>
      <w:smallCaps/>
      <w:color w:val="auto"/>
      <w:spacing w:val="5"/>
    </w:rPr>
  </w:style>
  <w:style w:type="character" w:customStyle="1" w:styleId="51">
    <w:name w:val="书籍标题1"/>
    <w:basedOn w:val="21"/>
    <w:qFormat/>
    <w:uiPriority w:val="33"/>
    <w:rPr>
      <w:rFonts w:ascii="Times New Roman" w:hAnsi="Times New Roman"/>
      <w:b/>
      <w:bCs/>
      <w:i/>
      <w:iCs/>
      <w:spacing w:val="5"/>
    </w:rPr>
  </w:style>
  <w:style w:type="paragraph" w:customStyle="1" w:styleId="52">
    <w:name w:val="修订1"/>
    <w:hidden/>
    <w:semiHidden/>
    <w:qFormat/>
    <w:uiPriority w:val="99"/>
    <w:rPr>
      <w:rFonts w:ascii="Times New Roman" w:hAnsi="Times New Roman" w:eastAsiaTheme="minorEastAsia" w:cstheme="minorBidi"/>
      <w:sz w:val="24"/>
      <w:szCs w:val="22"/>
      <w:lang w:val="en-US" w:eastAsia="en-US" w:bidi="ar-SA"/>
    </w:rPr>
  </w:style>
  <w:style w:type="character" w:customStyle="1" w:styleId="53">
    <w:name w:val="Unresolved Mention"/>
    <w:basedOn w:val="21"/>
    <w:semiHidden/>
    <w:unhideWhenUsed/>
    <w:qFormat/>
    <w:uiPriority w:val="99"/>
    <w:rPr>
      <w:color w:val="605E5C"/>
      <w:shd w:val="clear" w:color="auto" w:fill="E1DFDD"/>
    </w:rPr>
  </w:style>
  <w:style w:type="character" w:customStyle="1" w:styleId="54">
    <w:name w:val="15"/>
    <w:basedOn w:val="21"/>
    <w:qFormat/>
    <w:uiPriority w:val="0"/>
    <w:rPr>
      <w:rFonts w:hint="default" w:ascii="Times New Roman" w:hAnsi="Times New Roman" w:cs="Times New Roman"/>
      <w:color w:val="800080"/>
      <w:u w:val="single"/>
    </w:rPr>
  </w:style>
  <w:style w:type="table" w:customStyle="1" w:styleId="55">
    <w:name w:val="网格型1"/>
    <w:basedOn w:val="19"/>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6.xml"/><Relationship Id="rId23" Type="http://schemas.openxmlformats.org/officeDocument/2006/relationships/customXml" Target="../customXml/item5.xml"/><Relationship Id="rId22" Type="http://schemas.openxmlformats.org/officeDocument/2006/relationships/customXml" Target="../customXml/item4.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esdpres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frontiers_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agricultural%20heritage%20system&#22871;&#22270;\&#21457;&#25991;&#3732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defTabSz="914400">
              <a:defRPr lang="zh-CN" sz="1800" b="1" i="0" u="none" strike="noStrike" kern="1200" baseline="0">
                <a:solidFill>
                  <a:schemeClr val="tx1"/>
                </a:solidFill>
                <a:latin typeface="+mn-lt"/>
                <a:ea typeface="+mn-ea"/>
                <a:cs typeface="+mn-cs"/>
              </a:defRPr>
            </a:pPr>
            <a:r>
              <a:rPr lang="en-US" altLang="zh-CN"/>
              <a:t>Amount of papers </a:t>
            </a:r>
            <a:r>
              <a:rPr lang="en-US" altLang="en-US"/>
              <a:t>（</a:t>
            </a:r>
            <a:r>
              <a:rPr lang="en-US" altLang="zh-CN"/>
              <a:t>pieces</a:t>
            </a:r>
            <a:r>
              <a:rPr lang="en-US" altLang="en-US"/>
              <a:t>）</a:t>
            </a:r>
            <a:endParaRPr lang="en-US" altLang="zh-CN"/>
          </a:p>
        </c:rich>
      </c:tx>
      <c:layout>
        <c:manualLayout>
          <c:xMode val="edge"/>
          <c:yMode val="edge"/>
          <c:x val="0.135477341083438"/>
          <c:y val="0.0621761658031088"/>
        </c:manualLayout>
      </c:layout>
      <c:overlay val="0"/>
    </c:title>
    <c:autoTitleDeleted val="0"/>
    <c:plotArea>
      <c:layout/>
      <c:barChart>
        <c:barDir val="col"/>
        <c:grouping val="clustered"/>
        <c:varyColors val="0"/>
        <c:ser>
          <c:idx val="0"/>
          <c:order val="0"/>
          <c:tx>
            <c:strRef>
              <c:f>[发文量.xlsx]Sheet1!$B$1</c:f>
              <c:strCache>
                <c:ptCount val="1"/>
                <c:pt idx="0">
                  <c:v>发文量</c:v>
                </c:pt>
              </c:strCache>
            </c:strRef>
          </c:tx>
          <c:invertIfNegative val="0"/>
          <c:dLbls>
            <c:delete val="1"/>
          </c:dLbls>
          <c:cat>
            <c:numRef>
              <c:f>[发文量.xlsx]Sheet1!$A$2:$A$19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[发文量.xlsx]Sheet1!$B$2:$B$19</c:f>
              <c:numCache>
                <c:formatCode>General</c:formatCode>
                <c:ptCount val="18"/>
                <c:pt idx="0">
                  <c:v>16</c:v>
                </c:pt>
                <c:pt idx="1">
                  <c:v>9</c:v>
                </c:pt>
                <c:pt idx="2">
                  <c:v>43</c:v>
                </c:pt>
                <c:pt idx="3">
                  <c:v>15</c:v>
                </c:pt>
                <c:pt idx="4">
                  <c:v>20</c:v>
                </c:pt>
                <c:pt idx="5">
                  <c:v>15</c:v>
                </c:pt>
                <c:pt idx="6">
                  <c:v>17</c:v>
                </c:pt>
                <c:pt idx="7">
                  <c:v>22</c:v>
                </c:pt>
                <c:pt idx="8">
                  <c:v>23</c:v>
                </c:pt>
                <c:pt idx="9">
                  <c:v>48</c:v>
                </c:pt>
                <c:pt idx="10">
                  <c:v>27</c:v>
                </c:pt>
                <c:pt idx="11">
                  <c:v>29</c:v>
                </c:pt>
                <c:pt idx="12">
                  <c:v>38</c:v>
                </c:pt>
                <c:pt idx="13">
                  <c:v>33</c:v>
                </c:pt>
                <c:pt idx="14">
                  <c:v>41</c:v>
                </c:pt>
                <c:pt idx="15">
                  <c:v>41</c:v>
                </c:pt>
                <c:pt idx="16">
                  <c:v>58</c:v>
                </c:pt>
                <c:pt idx="17">
                  <c:v>38</c:v>
                </c:pt>
              </c:numCache>
            </c:numRef>
          </c:val>
        </c:ser>
        <c:dLbls>
          <c:showLegendKey val="0"/>
          <c:showVal val="0"/>
          <c:showCatName val="0"/>
          <c:showSerName val="0"/>
          <c:showPercent val="0"/>
          <c:showBubbleSize val="0"/>
        </c:dLbls>
        <c:gapWidth val="150"/>
        <c:axId val="139979264"/>
        <c:axId val="131390784"/>
      </c:barChart>
      <c:catAx>
        <c:axId val="139979264"/>
        <c:scaling>
          <c:orientation val="minMax"/>
        </c:scaling>
        <c:delete val="0"/>
        <c:axPos val="b"/>
        <c:title>
          <c:tx>
            <c:rich>
              <a:bodyPr rot="0" spcFirstLastPara="0" vertOverflow="ellipsis" vert="horz" wrap="square" anchor="ctr" anchorCtr="1"/>
              <a:lstStyle/>
              <a:p>
                <a:pPr defTabSz="914400">
                  <a:defRPr lang="zh-CN" sz="1000" b="1" i="0" u="none" strike="noStrike" kern="1200" baseline="0">
                    <a:solidFill>
                      <a:schemeClr val="tx1"/>
                    </a:solidFill>
                    <a:latin typeface="+mn-lt"/>
                    <a:ea typeface="+mn-ea"/>
                    <a:cs typeface="+mn-cs"/>
                  </a:defRPr>
                </a:pPr>
                <a:r>
                  <a:rPr lang="en-US" altLang="zh-CN"/>
                  <a:t>Year</a:t>
                </a:r>
                <a:endParaRPr lang="en-US" altLang="zh-CN"/>
              </a:p>
            </c:rich>
          </c:tx>
          <c:layout>
            <c:manualLayout>
              <c:xMode val="edge"/>
              <c:yMode val="edge"/>
              <c:x val="0.482131432227402"/>
              <c:y val="0.89920217941233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1390784"/>
        <c:crosses val="autoZero"/>
        <c:auto val="1"/>
        <c:lblAlgn val="ctr"/>
        <c:lblOffset val="100"/>
        <c:noMultiLvlLbl val="0"/>
      </c:catAx>
      <c:valAx>
        <c:axId val="13139078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9979264"/>
        <c:crosses val="autoZero"/>
        <c:crossBetween val="between"/>
      </c:valAx>
    </c:plotArea>
    <c:plotVisOnly val="1"/>
    <c:dispBlanksAs val="gap"/>
    <c:showDLblsOverMax val="0"/>
    <c:extLst>
      <c:ext uri="{0b15fc19-7d7d-44ad-8c2d-2c3a37ce22c3}">
        <chartProps xmlns="https://web.wps.cn/et/2018/main" chartId="{63ef86c2-6169-4594-b60a-37a882533dec}"/>
      </c:ext>
    </c:extLst>
  </c:chart>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6fd1d3709ebdae3c6e0eeb2d23db798b">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830d6d9b807b871f8ec19ed92d251fd0"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FRONDOC-1086935359-10120</_dlc_DocId>
    <_dlc_DocIdUrl xmlns="26005759-6815-4540-b8ea-913958d74f23">
      <Url>https://frontiersin.sharepoint.com/Publishing/PubOps/Production/_layouts/15/DocIdRedir.aspx?ID=FRONDOC-1086935359-10120</Url>
      <Description>FRONDOC-1086935359-10120</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D19558-80B8-407F-9A85-A5582859BFC5}">
  <ds:schemaRefs/>
</ds:datastoreItem>
</file>

<file path=customXml/itemProps3.xml><?xml version="1.0" encoding="utf-8"?>
<ds:datastoreItem xmlns:ds="http://schemas.openxmlformats.org/officeDocument/2006/customXml" ds:itemID="{51F9E78B-9130-4244-A349-202827F2937E}">
  <ds:schemaRefs/>
</ds:datastoreItem>
</file>

<file path=customXml/itemProps4.xml><?xml version="1.0" encoding="utf-8"?>
<ds:datastoreItem xmlns:ds="http://schemas.openxmlformats.org/officeDocument/2006/customXml" ds:itemID="{C80633FE-2C4D-43D3-9027-7B70B5BC8799}">
  <ds:schemaRefs/>
</ds:datastoreItem>
</file>

<file path=customXml/itemProps5.xml><?xml version="1.0" encoding="utf-8"?>
<ds:datastoreItem xmlns:ds="http://schemas.openxmlformats.org/officeDocument/2006/customXml" ds:itemID="{A547FD6E-73F0-4542-8474-D6680317EFD1}">
  <ds:schemaRefs/>
</ds:datastoreItem>
</file>

<file path=customXml/itemProps6.xml><?xml version="1.0" encoding="utf-8"?>
<ds:datastoreItem xmlns:ds="http://schemas.openxmlformats.org/officeDocument/2006/customXml" ds:itemID="{F576126B-090F-4852-AAEF-BE340CDFA094}">
  <ds:schemaRefs/>
</ds:datastoreItem>
</file>

<file path=docProps/app.xml><?xml version="1.0" encoding="utf-8"?>
<Properties xmlns="http://schemas.openxmlformats.org/officeDocument/2006/extended-properties" xmlns:vt="http://schemas.openxmlformats.org/officeDocument/2006/docPropsVTypes">
  <Template>frontiers_template.dotx</Template>
  <Company>P R C</Company>
  <Pages>30</Pages>
  <Words>10001</Words>
  <Characters>61009</Characters>
  <Lines>72</Lines>
  <Paragraphs>20</Paragraphs>
  <TotalTime>6</TotalTime>
  <ScaleCrop>false</ScaleCrop>
  <LinksUpToDate>false</LinksUpToDate>
  <CharactersWithSpaces>70681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2022-11-17T16:52:00Z</dcterms:created>
  <dc:creator>Frontiers</dc:creator>
  <cp:lastModifiedBy>WPS_1685163072</cp:lastModifiedBy>
  <cp:lastPrinted>2024-07-25T10:12:00Z</cp:lastPrinted>
  <dcterms:modified xsi:type="dcterms:W3CDTF">2025-06-26T10:09:27Z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1f20ac40-4545-4ae8-9e88-2ffc72570862</vt:lpwstr>
  </property>
  <property fmtid="{D5CDD505-2E9C-101B-9397-08002B2CF9AE}" pid="4" name="Order">
    <vt:r8>1012000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ProductBuildVer">
    <vt:lpwstr>2052-12.1.0.21541</vt:lpwstr>
  </property>
  <property fmtid="{D5CDD505-2E9C-101B-9397-08002B2CF9AE}" pid="11" name="ICV">
    <vt:lpwstr>7CD38135E2334CADBC56BBC9A8E79B22_13</vt:lpwstr>
  </property>
  <property fmtid="{D5CDD505-2E9C-101B-9397-08002B2CF9AE}" pid="12" name="KSOTemplateDocerSaveRecord">
    <vt:lpwstr>eyJoZGlkIjoiY2E4NmExMzY0MzFmNTNhYTRmZjgzYWRjMmJmMmQ4ZDgiLCJ1c2VySWQiOiIxNDk3NjI3MTU5In0=</vt:lpwstr>
  </property>
</Properties>
</file>